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default" w:ascii="Times New Roman" w:hAnsi="Times New Roman" w:eastAsia="宋体" w:cs="Times New Roman"/>
        </w:rPr>
      </w:pPr>
    </w:p>
    <w:p>
      <w:pPr>
        <w:jc w:val="center"/>
        <w:rPr>
          <w:rFonts w:hint="default" w:ascii="Times New Roman" w:hAnsi="Times New Roman" w:eastAsia="宋体" w:cs="Times New Roman"/>
          <w:sz w:val="36"/>
          <w:szCs w:val="36"/>
        </w:rPr>
      </w:pPr>
      <w:bookmarkStart w:id="0" w:name="_Hlk496949272"/>
      <w:bookmarkEnd w:id="0"/>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bookmarkStart w:id="1" w:name="_Hlk496950128"/>
      <w:r>
        <w:rPr>
          <w:rFonts w:hint="default" w:ascii="Times New Roman" w:hAnsi="Times New Roman" w:eastAsia="宋体" w:cs="Times New Roman"/>
          <w:sz w:val="36"/>
          <w:szCs w:val="36"/>
        </w:rPr>
        <w:t>新麦菲地毯（沧州）有限公司新建年产</w:t>
      </w:r>
    </w:p>
    <w:p>
      <w:pPr>
        <w:jc w:val="center"/>
        <w:rPr>
          <w:rFonts w:hint="default" w:ascii="Times New Roman" w:hAnsi="Times New Roman" w:eastAsia="宋体" w:cs="Times New Roman"/>
          <w:sz w:val="36"/>
          <w:szCs w:val="36"/>
        </w:rPr>
      </w:pPr>
      <w:r>
        <w:rPr>
          <w:rFonts w:hint="default" w:ascii="Times New Roman" w:hAnsi="Times New Roman" w:eastAsia="宋体" w:cs="Times New Roman"/>
          <w:sz w:val="36"/>
          <w:szCs w:val="36"/>
        </w:rPr>
        <w:t>300万平方米地毯项目竣工环境保护验收报告</w:t>
      </w:r>
      <w:bookmarkEnd w:id="1"/>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pPr>
    </w:p>
    <w:p>
      <w:pPr>
        <w:jc w:val="center"/>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建设单位：新麦菲地毯（沧州）有限公司</w:t>
      </w:r>
    </w:p>
    <w:p>
      <w:pPr>
        <w:jc w:val="center"/>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编制单位：新麦菲地毯（沧州）有限公司</w:t>
      </w:r>
    </w:p>
    <w:p>
      <w:pPr>
        <w:ind w:firstLine="1600" w:firstLineChars="500"/>
        <w:rPr>
          <w:rFonts w:hint="default" w:ascii="Times New Roman" w:hAnsi="Times New Roman" w:eastAsia="宋体" w:cs="Times New Roman"/>
          <w:sz w:val="32"/>
          <w:szCs w:val="32"/>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cs="Times New Roman"/>
          <w:sz w:val="32"/>
          <w:szCs w:val="32"/>
          <w:lang w:val="en-US" w:eastAsia="zh-CN"/>
        </w:rPr>
        <w:t>07</w:t>
      </w:r>
      <w:r>
        <w:rPr>
          <w:rFonts w:hint="default" w:ascii="Times New Roman" w:hAnsi="Times New Roman" w:eastAsia="宋体" w:cs="Times New Roman"/>
          <w:sz w:val="32"/>
          <w:szCs w:val="32"/>
        </w:rPr>
        <w:t>月</w:t>
      </w:r>
    </w:p>
    <w:p>
      <w:pPr>
        <w:pStyle w:val="30"/>
        <w:spacing w:before="0" w:line="400" w:lineRule="exact"/>
        <w:jc w:val="center"/>
        <w:rPr>
          <w:rFonts w:hint="default" w:ascii="Times New Roman" w:hAnsi="Times New Roman" w:eastAsia="宋体" w:cs="Times New Roman"/>
          <w:b/>
          <w:color w:val="000000"/>
        </w:rPr>
      </w:pPr>
      <w:r>
        <w:rPr>
          <w:rFonts w:hint="default" w:ascii="Times New Roman" w:hAnsi="Times New Roman" w:eastAsia="宋体" w:cs="Times New Roman"/>
          <w:b/>
          <w:color w:val="000000"/>
          <w:lang w:val="zh-CN"/>
        </w:rPr>
        <w:t>目  录</w:t>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TOC \o "1-3" \h \z \u </w:instrText>
      </w:r>
      <w:r>
        <w:rPr>
          <w:rFonts w:hint="default" w:ascii="Times New Roman" w:hAnsi="Times New Roman" w:eastAsia="宋体" w:cs="Times New Roman"/>
        </w:rPr>
        <w:fldChar w:fldCharType="separate"/>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_Toc17260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前  言</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_Toc17260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_Toc26310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 验收编制依据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_Toc26310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_Toc32541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 法律、法规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_Toc32541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_Toc31510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 验收技术规范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_Toc31510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_Toc5019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 工程技术文件及批复文件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_Toc5019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_Toc21103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 工程概况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_Toc21103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_Toc13247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 项目基本情况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_Toc13247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_Toc20886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2.1.1 基本情况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_Toc20886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_Toc8488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2.1.2 地理位置及周边情况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_Toc8488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_Toc11234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2.1.3 厂区平面布置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_Toc11234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_Toc340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 建设内容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_Toc340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_Toc14925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2.2.1 生产规模及产品方案</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_Toc14925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_Toc21736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2.2.2 主要原辅材料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_Toc21736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_Toc8242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2.2.3 主体设施建设内容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_Toc8242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_Toc27123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2.2.4 生产设备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_Toc27123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_Toc21246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 工艺流程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_Toc21246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_Toc10595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 劳动定员及工作制度</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_Toc10595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_Toc1111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 公用工程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_Toc1111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_Toc24838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2.6 环评审批情况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_Toc24838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_Toc10885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2.7 项目投资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_Toc10885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_Toc30423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 项目变更情况说明</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_Toc30423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_Toc291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2.9 环境保护“三同时”落实情况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_Toc5987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2.10 验收范围及内容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_Toc5987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_Toc27751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 主要污染源及治理措施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_Toc27751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_Toc16512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3.1 施工期主要污染源及治理措施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_Toc16512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_Toc15224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3.2 运行期主要污染源及治理措施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_Toc15224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_Toc21177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3.2.1 废气</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_Toc21177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_Toc27309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highlight w:val="none"/>
        </w:rPr>
        <w:t>3.2.</w:t>
      </w:r>
      <w:r>
        <w:rPr>
          <w:rFonts w:hint="default"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rPr>
        <w:t xml:space="preserve"> 废水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_Toc27309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_Toc26391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3.2.</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 xml:space="preserve"> 噪声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_Toc26391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_Toc19639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highlight w:val="none"/>
        </w:rPr>
        <w:t>3.2.</w:t>
      </w:r>
      <w:r>
        <w:rPr>
          <w:rFonts w:hint="default" w:ascii="Times New Roman" w:hAnsi="Times New Roman" w:eastAsia="宋体" w:cs="Times New Roman"/>
          <w:sz w:val="21"/>
          <w:szCs w:val="21"/>
          <w:highlight w:val="none"/>
          <w:lang w:val="en-US" w:eastAsia="zh-CN"/>
        </w:rPr>
        <w:t xml:space="preserve">4 </w:t>
      </w:r>
      <w:r>
        <w:rPr>
          <w:rFonts w:hint="default" w:ascii="Times New Roman" w:hAnsi="Times New Roman" w:eastAsia="宋体" w:cs="Times New Roman"/>
          <w:kern w:val="0"/>
          <w:sz w:val="21"/>
          <w:szCs w:val="21"/>
          <w:lang w:val="en-US" w:eastAsia="zh-CN" w:bidi="ar"/>
        </w:rPr>
        <w:t>固体废物</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_Toc19639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_Toc25753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 环评主要结论及环评批复要求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_Toc25753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_Toc8059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4.1 建设项目环评报告表的主要结论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_Toc8059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_Toc4678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4.2 审批部门审</w:t>
      </w:r>
      <w:r>
        <w:rPr>
          <w:rFonts w:hint="default" w:ascii="Times New Roman" w:hAnsi="Times New Roman" w:eastAsia="宋体" w:cs="Times New Roman"/>
          <w:sz w:val="21"/>
          <w:szCs w:val="21"/>
          <w:highlight w:val="none"/>
        </w:rPr>
        <w:t>批意见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_Toc4678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_Toc21436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4.3 审批意见落实情况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_Toc21436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_Toc30025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val="0"/>
          <w:spacing w:val="-10"/>
          <w:sz w:val="21"/>
          <w:szCs w:val="21"/>
        </w:rPr>
        <w:t>序号</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_Toc30025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_Toc1160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 验收评价标准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_Toc1160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_Toc18951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5.1 污染物排放标准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_Toc18951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_Toc29448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5.1.1 废气</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_Toc29448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_Toc20984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5.1.2噪声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_Toc20984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_Toc5118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5.2 总量控制指标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_Toc5118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_Toc11099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 质量保障措施和检测分析方法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_Toc11099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_Toc7977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6.1 质量保障体系</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_Toc7977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_Toc24452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6.2 检测分析方法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_Toc24452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_Toc11987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6.2.1 检测点位、项目及频次</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_Toc11987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_Toc9397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6.2.2检测分析方法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_Toc9397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_Toc6354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6.2.3 检测点位示意图</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_Toc6354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_Toc30623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 验收检测结果及分析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_Toc30623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_Toc13439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7.1 检测结果</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_Toc13439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_Toc4599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7.1.1 废气检测结果</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_Toc4599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_Toc7537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7.1.2 噪声检测结果</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_Toc7537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_Toc11985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7.2 检测结果分析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_Toc11985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_Toc16633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7.2.1 废气检测结果</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_Toc16633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keepNext w:val="0"/>
        <w:keepLines w:val="0"/>
        <w:pageBreakBefore w:val="0"/>
        <w:tabs>
          <w:tab w:val="right" w:leader="dot" w:pos="8306"/>
        </w:tabs>
        <w:kinsoku/>
        <w:wordWrap/>
        <w:overflowPunct/>
        <w:topLinePunct w:val="0"/>
        <w:autoSpaceDE/>
        <w:autoSpaceDN/>
        <w:bidi w:val="0"/>
        <w:adjustRightInd w:val="0"/>
        <w:snapToGrid w:val="0"/>
        <w:spacing w:after="0"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_Toc13502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7.2</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 xml:space="preserve"> 噪声检测结果</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_Toc13502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_Toc15296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7.3 总量控制要求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_Toc15296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_Toc1763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 环境管理检查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_Toc1763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_Toc2801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8.1 环保管理机构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_Toc2801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_Toc31892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8.2 施工期环境管理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_Toc31892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_Toc25520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8.3 运行期环境管理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_Toc25520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_Toc6657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8.4 社会环境影响情况调查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_Toc6657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_Toc5394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8.5 环境管理情况分析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_Toc5394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6"/>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_Toc26369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 结论和建议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_Toc26369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_Toc4166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9.1 验收主要结论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_Toc4166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8"/>
        <w:keepNext w:val="0"/>
        <w:keepLines w:val="0"/>
        <w:pageBreakBefore w:val="0"/>
        <w:tabs>
          <w:tab w:val="right" w:leader="dot" w:pos="8306"/>
        </w:tabs>
        <w:kinsoku/>
        <w:wordWrap/>
        <w:overflowPunct/>
        <w:topLinePunct w:val="0"/>
        <w:autoSpaceDE/>
        <w:autoSpaceDN/>
        <w:bidi w:val="0"/>
        <w:adjustRightInd w:val="0"/>
        <w:snapToGrid w:val="0"/>
        <w:spacing w:line="320" w:lineRule="exact"/>
        <w:textAlignment w:val="auto"/>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_Toc15856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pacing w:val="0"/>
          <w:sz w:val="21"/>
          <w:szCs w:val="21"/>
        </w:rPr>
        <w:t>9.2 建议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_Toc15856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11"/>
        <w:tabs>
          <w:tab w:val="right" w:leader="dot" w:pos="8306"/>
        </w:tabs>
      </w:pPr>
    </w:p>
    <w:p>
      <w:pPr>
        <w:pStyle w:val="18"/>
        <w:keepNext w:val="0"/>
        <w:keepLines w:val="0"/>
        <w:pageBreakBefore w:val="0"/>
        <w:widowControl w:val="0"/>
        <w:tabs>
          <w:tab w:val="right" w:leader="hyphen" w:pos="8296"/>
        </w:tabs>
        <w:kinsoku/>
        <w:wordWrap/>
        <w:overflowPunct/>
        <w:topLinePunct w:val="0"/>
        <w:autoSpaceDE/>
        <w:autoSpaceDN/>
        <w:bidi w:val="0"/>
        <w:adjustRightInd/>
        <w:snapToGrid/>
        <w:spacing w:before="313" w:beforeLines="100" w:line="400" w:lineRule="exact"/>
        <w:ind w:left="0" w:leftChars="0" w:right="0" w:rightChars="0" w:firstLine="0" w:firstLineChars="0"/>
        <w:jc w:val="left"/>
        <w:textAlignment w:val="auto"/>
        <w:outlineLvl w:val="9"/>
        <w:rPr>
          <w:rFonts w:hint="default" w:ascii="Times New Roman" w:hAnsi="Times New Roman" w:eastAsia="宋体" w:cs="Times New Roman"/>
          <w:b/>
          <w:sz w:val="30"/>
          <w:szCs w:val="30"/>
        </w:rPr>
      </w:pPr>
      <w:r>
        <w:rPr>
          <w:rFonts w:hint="default" w:ascii="Times New Roman" w:hAnsi="Times New Roman" w:eastAsia="宋体" w:cs="Times New Roman"/>
        </w:rPr>
        <w:fldChar w:fldCharType="end"/>
      </w:r>
      <w:r>
        <w:rPr>
          <w:rFonts w:hint="default" w:ascii="Times New Roman" w:hAnsi="Times New Roman" w:eastAsia="宋体" w:cs="Times New Roman"/>
          <w:b/>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1、项目地理位置图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企业周边关系图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、项目平面布置图</w:t>
      </w:r>
    </w:p>
    <w:p>
      <w:pPr>
        <w:spacing w:line="480" w:lineRule="atLeast"/>
        <w:rPr>
          <w:rFonts w:hint="default" w:ascii="Times New Roman" w:hAnsi="Times New Roman" w:eastAsia="宋体" w:cs="Times New Roman"/>
          <w:sz w:val="24"/>
          <w:szCs w:val="24"/>
        </w:rPr>
      </w:pPr>
    </w:p>
    <w:p>
      <w:pPr>
        <w:pStyle w:val="21"/>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before="313" w:beforeLines="100" w:line="480" w:lineRule="atLeast"/>
        <w:ind w:left="0" w:leftChars="0" w:right="0" w:rightChars="0" w:firstLine="0" w:firstLineChars="0"/>
        <w:jc w:val="left"/>
        <w:textAlignment w:val="auto"/>
        <w:outlineLvl w:val="9"/>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2、营业执照</w:t>
      </w:r>
    </w:p>
    <w:p>
      <w:pPr>
        <w:spacing w:line="480" w:lineRule="atLeast"/>
        <w:rPr>
          <w:rFonts w:hint="default" w:ascii="Times New Roman" w:hAnsi="Times New Roman" w:eastAsia="宋体" w:cs="Times New Roman"/>
          <w:sz w:val="24"/>
          <w:szCs w:val="24"/>
          <w:lang w:val="en-US" w:eastAsia="zh-CN"/>
        </w:rPr>
        <w:sectPr>
          <w:headerReference r:id="rId5" w:type="first"/>
          <w:footerReference r:id="rId7" w:type="first"/>
          <w:headerReference r:id="rId4"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pPr>
        <w:pStyle w:val="5"/>
        <w:jc w:val="center"/>
        <w:rPr>
          <w:rFonts w:hint="default" w:ascii="Times New Roman" w:hAnsi="Times New Roman" w:eastAsia="宋体" w:cs="Times New Roman"/>
        </w:rPr>
      </w:pPr>
      <w:bookmarkStart w:id="2" w:name="_Toc10004"/>
      <w:bookmarkStart w:id="3" w:name="_Toc20373"/>
      <w:bookmarkStart w:id="4" w:name="_Toc17260"/>
      <w:bookmarkStart w:id="5" w:name="_Toc9675"/>
      <w:r>
        <w:rPr>
          <w:rFonts w:hint="default" w:ascii="Times New Roman" w:hAnsi="Times New Roman" w:eastAsia="宋体" w:cs="Times New Roman"/>
        </w:rPr>
        <w:t>前  言</w:t>
      </w:r>
      <w:bookmarkEnd w:id="2"/>
      <w:bookmarkEnd w:id="3"/>
      <w:bookmarkEnd w:id="4"/>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新麦菲地毯（沧州）有限公司</w:t>
      </w:r>
      <w:r>
        <w:rPr>
          <w:rFonts w:hint="default" w:ascii="Times New Roman" w:hAnsi="Times New Roman" w:cs="Times New Roman"/>
          <w:sz w:val="24"/>
          <w:szCs w:val="24"/>
          <w:lang w:val="en-US" w:eastAsia="zh-CN"/>
        </w:rPr>
        <w:t>位于河北省沧州市沧县高川乡高屯村</w:t>
      </w:r>
      <w:r>
        <w:rPr>
          <w:rFonts w:hint="eastAsia" w:ascii="Times New Roman" w:hAnsi="Times New Roman" w:cs="Times New Roman"/>
          <w:sz w:val="24"/>
          <w:szCs w:val="24"/>
          <w:lang w:val="en-US" w:eastAsia="zh-CN"/>
        </w:rPr>
        <w:t>。现投资500万元建设年产300万平方米地毯项目。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2021年06月，委托河北仁水环境科技有限公司</w:t>
      </w:r>
      <w:r>
        <w:rPr>
          <w:rFonts w:hint="default" w:ascii="Times New Roman" w:hAnsi="Times New Roman" w:cs="Times New Roman"/>
          <w:color w:val="auto"/>
          <w:sz w:val="24"/>
          <w:szCs w:val="24"/>
          <w:highlight w:val="none"/>
          <w:lang w:val="en-US" w:eastAsia="zh-CN"/>
        </w:rPr>
        <w:t>编制完成了《</w:t>
      </w:r>
      <w:r>
        <w:rPr>
          <w:rFonts w:hint="eastAsia" w:ascii="Times New Roman" w:hAnsi="Times New Roman" w:cs="Times New Roman"/>
          <w:sz w:val="24"/>
          <w:szCs w:val="24"/>
          <w:lang w:val="en-US" w:eastAsia="zh-CN"/>
        </w:rPr>
        <w:t>新麦菲地毯（沧州）有限公司新建年产300万平方米地毯项目</w:t>
      </w:r>
      <w:r>
        <w:rPr>
          <w:rFonts w:hint="default" w:ascii="Times New Roman" w:hAnsi="Times New Roman" w:cs="Times New Roman"/>
          <w:color w:val="auto"/>
          <w:sz w:val="24"/>
          <w:szCs w:val="24"/>
          <w:lang w:val="en-US" w:eastAsia="zh-CN"/>
        </w:rPr>
        <w:t>环境影响报告表》，</w:t>
      </w:r>
      <w:r>
        <w:rPr>
          <w:rFonts w:hint="eastAsia" w:ascii="Times New Roman" w:hAnsi="Times New Roman" w:cs="Times New Roman"/>
          <w:color w:val="auto"/>
          <w:sz w:val="24"/>
          <w:szCs w:val="24"/>
          <w:lang w:val="en-US" w:eastAsia="zh-CN"/>
        </w:rPr>
        <w:t>并于2021年06月30日</w:t>
      </w:r>
      <w:r>
        <w:rPr>
          <w:rFonts w:hint="default" w:ascii="Times New Roman" w:hAnsi="Times New Roman" w:cs="Times New Roman"/>
          <w:color w:val="auto"/>
          <w:sz w:val="24"/>
          <w:szCs w:val="24"/>
          <w:highlight w:val="none"/>
          <w:lang w:val="en-US" w:eastAsia="zh-CN"/>
        </w:rPr>
        <w:t>取得了</w:t>
      </w:r>
      <w:r>
        <w:rPr>
          <w:rFonts w:hint="eastAsia" w:ascii="Times New Roman" w:hAnsi="Times New Roman" w:cs="Times New Roman"/>
          <w:color w:val="auto"/>
          <w:sz w:val="24"/>
          <w:szCs w:val="24"/>
          <w:highlight w:val="none"/>
          <w:lang w:val="en-US" w:eastAsia="zh-CN"/>
        </w:rPr>
        <w:t>沧县行政审批局</w:t>
      </w:r>
      <w:r>
        <w:rPr>
          <w:rFonts w:hint="default" w:ascii="Times New Roman" w:hAnsi="Times New Roman" w:cs="Times New Roman"/>
          <w:color w:val="auto"/>
          <w:sz w:val="24"/>
          <w:szCs w:val="24"/>
          <w:highlight w:val="none"/>
          <w:lang w:val="en-US" w:eastAsia="zh-CN"/>
        </w:rPr>
        <w:t>的</w:t>
      </w:r>
      <w:r>
        <w:rPr>
          <w:rFonts w:hint="eastAsia" w:ascii="Times New Roman" w:hAnsi="Times New Roman" w:cs="Times New Roman"/>
          <w:color w:val="auto"/>
          <w:sz w:val="24"/>
          <w:szCs w:val="24"/>
          <w:highlight w:val="none"/>
          <w:lang w:val="en-US" w:eastAsia="zh-CN"/>
        </w:rPr>
        <w:t>审批</w:t>
      </w:r>
      <w:r>
        <w:rPr>
          <w:rFonts w:hint="default" w:ascii="Times New Roman" w:hAnsi="Times New Roman" w:cs="Times New Roman"/>
          <w:color w:val="auto"/>
          <w:sz w:val="24"/>
          <w:szCs w:val="24"/>
          <w:highlight w:val="none"/>
          <w:lang w:val="en-US" w:eastAsia="zh-CN"/>
        </w:rPr>
        <w:t>，批复文号为沧县行政环字〔2021〕151号</w:t>
      </w:r>
      <w:r>
        <w:rPr>
          <w:rFonts w:hint="eastAsia" w:ascii="Times New Roman" w:hAnsi="Times New Roman" w:cs="Times New Roman"/>
          <w:color w:val="auto"/>
          <w:sz w:val="24"/>
          <w:szCs w:val="24"/>
          <w:highlight w:val="none"/>
          <w:lang w:val="en-US" w:eastAsia="zh-CN"/>
        </w:rPr>
        <w:t>。</w:t>
      </w:r>
    </w:p>
    <w:p>
      <w:pPr>
        <w:spacing w:line="440" w:lineRule="atLeast"/>
        <w:ind w:firstLine="480" w:firstLineChars="200"/>
        <w:rPr>
          <w:rFonts w:hint="default" w:ascii="Times New Roman" w:hAnsi="Times New Roman" w:eastAsia="宋体" w:cs="Times New Roman"/>
          <w:color w:val="000000"/>
          <w:sz w:val="24"/>
          <w:szCs w:val="24"/>
        </w:rPr>
      </w:pPr>
      <w:r>
        <w:rPr>
          <w:rFonts w:hint="eastAsia" w:ascii="Times New Roman" w:hAnsi="Times New Roman" w:cs="Times New Roman"/>
          <w:sz w:val="24"/>
          <w:szCs w:val="24"/>
          <w:lang w:val="en-US" w:eastAsia="zh-CN"/>
        </w:rPr>
        <w:t>年产300万平方米地毯项目</w:t>
      </w:r>
      <w:r>
        <w:rPr>
          <w:rFonts w:hint="default" w:ascii="Times New Roman" w:hAnsi="Times New Roman" w:eastAsia="宋体" w:cs="Times New Roman"/>
          <w:color w:val="000000"/>
          <w:sz w:val="24"/>
          <w:szCs w:val="24"/>
        </w:rPr>
        <w:t>已建设完成并</w:t>
      </w:r>
      <w:r>
        <w:rPr>
          <w:rFonts w:hint="default" w:ascii="Times New Roman" w:hAnsi="Times New Roman" w:eastAsia="宋体" w:cs="Times New Roman"/>
          <w:color w:val="000000"/>
          <w:sz w:val="24"/>
          <w:szCs w:val="24"/>
          <w:lang w:eastAsia="zh-CN"/>
        </w:rPr>
        <w:t>进入调试阶段</w:t>
      </w:r>
      <w:r>
        <w:rPr>
          <w:rFonts w:hint="default" w:ascii="Times New Roman" w:hAnsi="Times New Roman" w:eastAsia="宋体" w:cs="Times New Roman"/>
          <w:color w:val="000000"/>
          <w:sz w:val="24"/>
          <w:szCs w:val="24"/>
        </w:rPr>
        <w:t>，</w:t>
      </w:r>
      <w:r>
        <w:rPr>
          <w:rFonts w:hint="default" w:ascii="Times New Roman" w:hAnsi="Times New Roman" w:eastAsia="宋体" w:cs="Times New Roman"/>
          <w:bCs/>
          <w:color w:val="000000"/>
          <w:sz w:val="24"/>
        </w:rPr>
        <w:t>根据《建设项目环境保护</w:t>
      </w:r>
      <w:r>
        <w:rPr>
          <w:rFonts w:hint="default" w:ascii="Times New Roman" w:hAnsi="Times New Roman" w:eastAsia="宋体" w:cs="Times New Roman"/>
          <w:bCs/>
          <w:sz w:val="24"/>
        </w:rPr>
        <w:t>管理条例》（国务院第</w:t>
      </w:r>
      <w:r>
        <w:rPr>
          <w:rFonts w:hint="default" w:ascii="Times New Roman" w:hAnsi="Times New Roman" w:eastAsia="宋体" w:cs="Times New Roman"/>
          <w:bCs/>
          <w:sz w:val="24"/>
          <w:lang w:val="en-US" w:eastAsia="zh-CN"/>
        </w:rPr>
        <w:t>682</w:t>
      </w:r>
      <w:r>
        <w:rPr>
          <w:rFonts w:hint="default" w:ascii="Times New Roman" w:hAnsi="Times New Roman" w:eastAsia="宋体" w:cs="Times New Roman"/>
          <w:bCs/>
          <w:sz w:val="24"/>
        </w:rPr>
        <w:t>号令）、《</w:t>
      </w:r>
      <w:r>
        <w:rPr>
          <w:rFonts w:hint="default" w:ascii="Times New Roman" w:hAnsi="Times New Roman" w:eastAsia="宋体" w:cs="Times New Roman"/>
          <w:bCs/>
          <w:sz w:val="24"/>
          <w:lang w:eastAsia="zh-CN"/>
        </w:rPr>
        <w:t>建设项目竣工环境保护验收暂行办法</w:t>
      </w:r>
      <w:r>
        <w:rPr>
          <w:rFonts w:hint="default" w:ascii="Times New Roman" w:hAnsi="Times New Roman" w:eastAsia="宋体" w:cs="Times New Roman"/>
          <w:bCs/>
          <w:sz w:val="24"/>
        </w:rPr>
        <w:t>》</w:t>
      </w:r>
      <w:r>
        <w:rPr>
          <w:rFonts w:hint="default" w:ascii="Times New Roman" w:hAnsi="Times New Roman" w:eastAsia="宋体" w:cs="Times New Roman"/>
          <w:bCs/>
          <w:sz w:val="24"/>
          <w:lang w:eastAsia="zh-CN"/>
        </w:rPr>
        <w:t>（国环规环评【</w:t>
      </w:r>
      <w:r>
        <w:rPr>
          <w:rFonts w:hint="default" w:ascii="Times New Roman" w:hAnsi="Times New Roman" w:eastAsia="宋体" w:cs="Times New Roman"/>
          <w:bCs/>
          <w:sz w:val="24"/>
          <w:lang w:val="en-US" w:eastAsia="zh-CN"/>
        </w:rPr>
        <w:t>2017】4号</w:t>
      </w:r>
      <w:r>
        <w:rPr>
          <w:rFonts w:hint="default" w:ascii="Times New Roman" w:hAnsi="Times New Roman" w:eastAsia="宋体" w:cs="Times New Roman"/>
          <w:bCs/>
          <w:sz w:val="24"/>
          <w:lang w:eastAsia="zh-CN"/>
        </w:rPr>
        <w:t>）</w:t>
      </w:r>
      <w:r>
        <w:rPr>
          <w:rFonts w:hint="default" w:ascii="Times New Roman" w:hAnsi="Times New Roman" w:eastAsia="宋体" w:cs="Times New Roman"/>
          <w:bCs/>
          <w:sz w:val="24"/>
        </w:rPr>
        <w:t>的有关规定</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szCs w:val="24"/>
        </w:rPr>
        <w:t>沧州燕赵环境监测技术服务有限公司</w:t>
      </w:r>
      <w:r>
        <w:rPr>
          <w:rFonts w:hint="default" w:ascii="Times New Roman" w:hAnsi="Times New Roman" w:eastAsia="宋体" w:cs="Times New Roman"/>
          <w:sz w:val="24"/>
          <w:szCs w:val="24"/>
        </w:rPr>
        <w:t>于</w:t>
      </w:r>
      <w:r>
        <w:rPr>
          <w:rFonts w:hint="eastAsia" w:ascii="Times New Roman" w:hAnsi="Times New Roman" w:cs="Times New Roman"/>
          <w:sz w:val="24"/>
          <w:szCs w:val="24"/>
          <w:lang w:eastAsia="zh-CN"/>
        </w:rPr>
        <w:t>202</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年0</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lang w:eastAsia="zh-CN"/>
        </w:rPr>
        <w:t>月</w:t>
      </w:r>
      <w:r>
        <w:rPr>
          <w:rFonts w:hint="eastAsia" w:ascii="Times New Roman" w:hAnsi="Times New Roman" w:cs="Times New Roman"/>
          <w:sz w:val="24"/>
          <w:szCs w:val="24"/>
          <w:lang w:val="en-US" w:eastAsia="zh-CN"/>
        </w:rPr>
        <w:t>17</w:t>
      </w:r>
      <w:r>
        <w:rPr>
          <w:rFonts w:hint="eastAsia" w:ascii="Times New Roman" w:hAnsi="Times New Roman" w:cs="Times New Roman"/>
          <w:sz w:val="24"/>
          <w:szCs w:val="24"/>
          <w:lang w:eastAsia="zh-CN"/>
        </w:rPr>
        <w:t>日</w:t>
      </w:r>
      <w:r>
        <w:rPr>
          <w:rFonts w:hint="default" w:ascii="Times New Roman" w:hAnsi="Times New Roman" w:eastAsia="宋体" w:cs="Times New Roman"/>
          <w:sz w:val="24"/>
          <w:szCs w:val="24"/>
          <w:lang w:val="en-US" w:eastAsia="zh-CN"/>
        </w:rPr>
        <w:t>至</w:t>
      </w:r>
      <w:r>
        <w:rPr>
          <w:rFonts w:hint="eastAsia" w:ascii="Times New Roman" w:hAnsi="Times New Roman" w:cs="Times New Roman"/>
          <w:sz w:val="24"/>
          <w:szCs w:val="24"/>
          <w:lang w:val="en-US" w:eastAsia="zh-CN"/>
        </w:rPr>
        <w:t>06月18日</w:t>
      </w:r>
      <w:r>
        <w:rPr>
          <w:rFonts w:hint="default" w:ascii="Times New Roman" w:hAnsi="Times New Roman" w:eastAsia="宋体" w:cs="Times New Roman"/>
          <w:sz w:val="24"/>
          <w:szCs w:val="24"/>
        </w:rPr>
        <w:t>对</w:t>
      </w:r>
      <w:r>
        <w:rPr>
          <w:rFonts w:hint="default" w:ascii="Times New Roman" w:hAnsi="Times New Roman" w:eastAsia="宋体" w:cs="Times New Roman"/>
          <w:sz w:val="24"/>
          <w:szCs w:val="24"/>
          <w:lang w:eastAsia="zh-CN"/>
        </w:rPr>
        <w:t>项目污染物排放情况</w:t>
      </w:r>
      <w:r>
        <w:rPr>
          <w:rFonts w:hint="default" w:ascii="Times New Roman" w:hAnsi="Times New Roman" w:eastAsia="宋体" w:cs="Times New Roman"/>
          <w:sz w:val="24"/>
          <w:szCs w:val="24"/>
        </w:rPr>
        <w:t>进行了环保验收监测，</w:t>
      </w:r>
      <w:r>
        <w:rPr>
          <w:rFonts w:hint="eastAsia" w:ascii="Times New Roman" w:hAnsi="Times New Roman" w:cs="Times New Roman"/>
          <w:sz w:val="24"/>
          <w:szCs w:val="24"/>
          <w:lang w:val="en-US" w:eastAsia="zh-CN"/>
        </w:rPr>
        <w:t>新麦菲地毯（沧州）有限公司</w:t>
      </w:r>
      <w:r>
        <w:rPr>
          <w:rFonts w:hint="default" w:ascii="Times New Roman" w:hAnsi="Times New Roman" w:eastAsia="宋体" w:cs="Times New Roman"/>
          <w:sz w:val="24"/>
          <w:szCs w:val="24"/>
        </w:rPr>
        <w:t>依据监测结果编制了项目竣工环保验收报告，</w:t>
      </w:r>
      <w:r>
        <w:rPr>
          <w:rFonts w:hint="default" w:ascii="Times New Roman" w:hAnsi="Times New Roman" w:eastAsia="宋体" w:cs="Times New Roman"/>
          <w:color w:val="000000"/>
          <w:sz w:val="24"/>
          <w:szCs w:val="24"/>
        </w:rPr>
        <w:t>为其竣工验收提供科学依据。</w:t>
      </w:r>
    </w:p>
    <w:p>
      <w:pPr>
        <w:spacing w:line="440" w:lineRule="atLeast"/>
        <w:ind w:firstLine="480" w:firstLineChars="200"/>
        <w:rPr>
          <w:rFonts w:hint="default" w:ascii="Times New Roman" w:hAnsi="Times New Roman" w:eastAsia="宋体" w:cs="Times New Roman"/>
          <w:sz w:val="24"/>
          <w:szCs w:val="24"/>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5"/>
        <w:rPr>
          <w:rFonts w:hint="default" w:ascii="Times New Roman" w:hAnsi="Times New Roman" w:eastAsia="宋体" w:cs="Times New Roman"/>
        </w:rPr>
      </w:pPr>
      <w:bookmarkStart w:id="6" w:name="_Toc14085"/>
      <w:bookmarkStart w:id="7" w:name="_Toc26310"/>
      <w:bookmarkStart w:id="8" w:name="_Toc23777"/>
      <w:bookmarkStart w:id="9" w:name="_Toc17755"/>
      <w:r>
        <w:rPr>
          <w:rFonts w:hint="default" w:ascii="Times New Roman" w:hAnsi="Times New Roman" w:eastAsia="宋体" w:cs="Times New Roman"/>
        </w:rPr>
        <w:t>1 验收编制依据</w:t>
      </w:r>
      <w:bookmarkEnd w:id="6"/>
      <w:bookmarkEnd w:id="7"/>
      <w:bookmarkEnd w:id="8"/>
      <w:bookmarkEnd w:id="9"/>
    </w:p>
    <w:p>
      <w:pPr>
        <w:pStyle w:val="6"/>
        <w:rPr>
          <w:rFonts w:hint="default" w:ascii="Times New Roman" w:hAnsi="Times New Roman" w:eastAsia="宋体" w:cs="Times New Roman"/>
        </w:rPr>
      </w:pPr>
      <w:bookmarkStart w:id="10" w:name="_Toc30258"/>
      <w:bookmarkStart w:id="11" w:name="_Toc32325"/>
      <w:bookmarkStart w:id="12" w:name="_Toc32541"/>
      <w:bookmarkStart w:id="13" w:name="_Toc12399"/>
      <w:r>
        <w:rPr>
          <w:rFonts w:hint="default" w:ascii="Times New Roman" w:hAnsi="Times New Roman" w:eastAsia="宋体" w:cs="Times New Roman"/>
        </w:rPr>
        <w:t>1.1 法律、法规</w:t>
      </w:r>
      <w:bookmarkEnd w:id="10"/>
      <w:bookmarkEnd w:id="11"/>
      <w:bookmarkEnd w:id="12"/>
      <w:bookmarkEnd w:id="13"/>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（1）《中华人</w:t>
      </w:r>
      <w:r>
        <w:rPr>
          <w:rFonts w:hint="default" w:ascii="Times New Roman" w:hAnsi="Times New Roman" w:eastAsia="宋体" w:cs="Times New Roman"/>
          <w:color w:val="auto"/>
          <w:sz w:val="24"/>
          <w:szCs w:val="24"/>
        </w:rPr>
        <w:t>民共和国环境保护法》，（2015年1月1日起施行）；</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（2）《中华人民共和国环境影响评价法》，（201</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日起施行）；</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（3）《中华人民共和国水污染防治法》（20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8年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月1日起施行）；</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（4）《中华人民共和国大气污染防治法》，（201</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年1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日施行）；</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（5）《中华人民共和国环境噪声污染防治法》，（</w:t>
      </w:r>
      <w:r>
        <w:rPr>
          <w:rFonts w:hint="default" w:ascii="Times New Roman" w:hAnsi="Times New Roman" w:eastAsia="宋体" w:cs="Times New Roman"/>
          <w:color w:val="auto"/>
          <w:sz w:val="24"/>
          <w:szCs w:val="24"/>
          <w:lang w:val="en-US" w:eastAsia="zh-CN"/>
        </w:rPr>
        <w:t>2018</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日起施行）；</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（6）《中华人民共和国固体废物污染环境防治法》，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rPr>
        <w:t>年</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日起施行）；</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（8）《建设项目环境影响评价分类管理名录》（201</w:t>
      </w:r>
      <w:r>
        <w:rPr>
          <w:rFonts w:hint="default"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rPr>
        <w:t>年</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月</w:t>
      </w:r>
      <w:r>
        <w:rPr>
          <w:rFonts w:hint="default" w:ascii="Times New Roman" w:hAnsi="Times New Roman" w:cs="Times New Roman"/>
          <w:color w:val="auto"/>
          <w:sz w:val="24"/>
          <w:szCs w:val="24"/>
          <w:lang w:val="en-US" w:eastAsia="zh-CN"/>
        </w:rPr>
        <w:t>28</w:t>
      </w:r>
      <w:r>
        <w:rPr>
          <w:rFonts w:hint="default" w:ascii="Times New Roman" w:hAnsi="Times New Roman" w:eastAsia="宋体" w:cs="Times New Roman"/>
          <w:color w:val="auto"/>
          <w:sz w:val="24"/>
          <w:szCs w:val="24"/>
        </w:rPr>
        <w:t>日起施行）；</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（9）《河北省环境保护条例》，（2005年5月1日起施行）。</w:t>
      </w:r>
    </w:p>
    <w:p>
      <w:pPr>
        <w:pStyle w:val="6"/>
        <w:rPr>
          <w:rFonts w:hint="default" w:ascii="Times New Roman" w:hAnsi="Times New Roman" w:eastAsia="宋体" w:cs="Times New Roman"/>
          <w:color w:val="auto"/>
        </w:rPr>
      </w:pPr>
      <w:bookmarkStart w:id="14" w:name="_Toc31510"/>
      <w:bookmarkStart w:id="15" w:name="_Toc11240"/>
      <w:bookmarkStart w:id="16" w:name="_Toc17067"/>
      <w:bookmarkStart w:id="17" w:name="_Toc19988"/>
      <w:r>
        <w:rPr>
          <w:rFonts w:hint="default" w:ascii="Times New Roman" w:hAnsi="Times New Roman" w:eastAsia="宋体" w:cs="Times New Roman"/>
          <w:color w:val="auto"/>
        </w:rPr>
        <w:t>1.2 验收技术规范</w:t>
      </w:r>
      <w:bookmarkEnd w:id="14"/>
      <w:bookmarkEnd w:id="15"/>
      <w:bookmarkEnd w:id="16"/>
      <w:bookmarkEnd w:id="17"/>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（1）《环境影响评价技术导则  总纲》（HJ 2.1-2016）；</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（2）《环境影响评价技术导则  大气环境》（HJ 2.2-20</w:t>
      </w: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8）；</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（3）《环境影响评价技术导则  地</w:t>
      </w:r>
      <w:r>
        <w:rPr>
          <w:rFonts w:hint="default" w:ascii="Times New Roman" w:hAnsi="Times New Roman" w:cs="Times New Roman"/>
          <w:color w:val="auto"/>
          <w:sz w:val="24"/>
          <w:szCs w:val="24"/>
          <w:lang w:eastAsia="zh-CN"/>
        </w:rPr>
        <w:t>表</w:t>
      </w:r>
      <w:r>
        <w:rPr>
          <w:rFonts w:hint="default" w:ascii="Times New Roman" w:hAnsi="Times New Roman" w:eastAsia="宋体" w:cs="Times New Roman"/>
          <w:color w:val="auto"/>
          <w:sz w:val="24"/>
          <w:szCs w:val="24"/>
        </w:rPr>
        <w:t>水环境》（HJ/T 2.3-</w:t>
      </w:r>
      <w:r>
        <w:rPr>
          <w:rFonts w:hint="default" w:ascii="Times New Roman" w:hAnsi="Times New Roman" w:cs="Times New Roman"/>
          <w:color w:val="auto"/>
          <w:sz w:val="24"/>
          <w:szCs w:val="24"/>
          <w:lang w:val="en-US" w:eastAsia="zh-CN"/>
        </w:rPr>
        <w:t>2018</w:t>
      </w:r>
      <w:r>
        <w:rPr>
          <w:rFonts w:hint="default" w:ascii="Times New Roman" w:hAnsi="Times New Roman" w:eastAsia="宋体" w:cs="Times New Roman"/>
          <w:color w:val="auto"/>
          <w:sz w:val="24"/>
          <w:szCs w:val="24"/>
        </w:rPr>
        <w:t>）；</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（4）《环境影响评价技术导则  地下水环境》（HJ 610-2016）；</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（5）《环境影响评价技术导则  声环境》（HJ 2.4-2009）；</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（6）《环境影响评价技术导则  生态影响》（HJ 19-2011）；</w:t>
      </w:r>
    </w:p>
    <w:p>
      <w:pPr>
        <w:spacing w:line="440" w:lineRule="atLeas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（7）《环境空气质量标准》（GB</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3095-2012）；</w:t>
      </w:r>
    </w:p>
    <w:p>
      <w:pPr>
        <w:spacing w:line="440" w:lineRule="atLeast"/>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8）</w:t>
      </w:r>
      <w:r>
        <w:rPr>
          <w:rFonts w:hint="eastAsia" w:ascii="Times New Roman" w:hAnsi="Times New Roman" w:cs="Times New Roman"/>
          <w:color w:val="auto"/>
          <w:sz w:val="24"/>
          <w:szCs w:val="24"/>
          <w:lang w:val="en-US" w:eastAsia="zh-CN"/>
        </w:rPr>
        <w:t>《地下水质量标准》（GB/T 14848-2017）；</w:t>
      </w:r>
    </w:p>
    <w:p>
      <w:pPr>
        <w:spacing w:line="440" w:lineRule="atLeast"/>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《声环境质量标准》（GB</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3096-2008）</w:t>
      </w:r>
      <w:r>
        <w:rPr>
          <w:rFonts w:hint="default" w:ascii="Times New Roman" w:hAnsi="Times New Roman" w:eastAsia="宋体" w:cs="Times New Roman"/>
          <w:color w:val="auto"/>
          <w:sz w:val="24"/>
          <w:szCs w:val="24"/>
          <w:lang w:eastAsia="zh-CN"/>
        </w:rPr>
        <w:t>；</w:t>
      </w:r>
    </w:p>
    <w:p>
      <w:pPr>
        <w:spacing w:line="440" w:lineRule="atLeast"/>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（10）《土壤环境质量建设用地土壤污染风险管控标准》（GB36600-2018）；</w:t>
      </w:r>
    </w:p>
    <w:p>
      <w:pPr>
        <w:spacing w:line="440" w:lineRule="atLeas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（11）《大气污染物综合排放标准》（GB 16297-1996）；</w:t>
      </w:r>
    </w:p>
    <w:p>
      <w:pPr>
        <w:spacing w:line="440" w:lineRule="atLeast"/>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（12）《河北省重污染八个行业应急减排技术指南》</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4"/>
          <w:lang w:eastAsia="zh-CN"/>
        </w:rPr>
        <w:t>《工业企业厂界环境噪声排放标准》（GB</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eastAsia="zh-CN"/>
        </w:rPr>
        <w:t>12348-2008）；</w:t>
      </w:r>
    </w:p>
    <w:p>
      <w:pPr>
        <w:spacing w:line="440" w:lineRule="atLeas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（14）</w:t>
      </w:r>
      <w:r>
        <w:rPr>
          <w:rFonts w:hint="default" w:ascii="Times New Roman" w:hAnsi="Times New Roman" w:cs="Times New Roman"/>
          <w:sz w:val="24"/>
          <w:szCs w:val="24"/>
        </w:rPr>
        <w:t>《烧碱、聚氯乙烯工业污染物排放标准》（GB15581-2016）</w:t>
      </w:r>
      <w:r>
        <w:rPr>
          <w:rFonts w:hint="eastAsia" w:ascii="Times New Roman" w:hAnsi="Times New Roman" w:eastAsia="宋体" w:cs="Times New Roman"/>
          <w:color w:val="auto"/>
          <w:sz w:val="24"/>
          <w:szCs w:val="24"/>
          <w:lang w:val="en-US" w:eastAsia="zh-CN"/>
        </w:rPr>
        <w:t>）</w:t>
      </w:r>
    </w:p>
    <w:p>
      <w:pPr>
        <w:spacing w:line="440" w:lineRule="atLeast"/>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（15）《工业企业挥发性有机物排放控制标准》（DB13/2322-2016）</w:t>
      </w:r>
    </w:p>
    <w:p>
      <w:pPr>
        <w:spacing w:line="440" w:lineRule="atLeast"/>
        <w:ind w:firstLine="480" w:firstLineChars="200"/>
        <w:rPr>
          <w:rFonts w:hint="default"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16</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《一般工业固体废物贮存、处置场污染控制标准》（GB18599-2001）及</w:t>
      </w:r>
      <w:r>
        <w:rPr>
          <w:rFonts w:hint="eastAsia" w:ascii="Times New Roman" w:hAnsi="Times New Roman" w:cs="Times New Roman"/>
          <w:sz w:val="24"/>
          <w:szCs w:val="24"/>
          <w:lang w:eastAsia="zh-CN"/>
        </w:rPr>
        <w:t>其修改单的规定</w:t>
      </w:r>
      <w:r>
        <w:rPr>
          <w:rFonts w:hint="default" w:ascii="Times New Roman" w:hAnsi="Times New Roman" w:eastAsia="宋体" w:cs="Times New Roman"/>
          <w:sz w:val="24"/>
          <w:szCs w:val="24"/>
          <w:lang w:val="en-US" w:eastAsia="zh-CN"/>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17</w:t>
      </w:r>
      <w:r>
        <w:rPr>
          <w:rFonts w:hint="default" w:ascii="Times New Roman" w:hAnsi="Times New Roman" w:cs="Times New Roman"/>
          <w:sz w:val="24"/>
          <w:szCs w:val="24"/>
          <w:lang w:val="en-US"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highlight w:val="none"/>
        </w:rPr>
        <w:t>挥发性有机物无组织排放控制标准</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highlight w:val="none"/>
        </w:rPr>
        <w:t>GB37822-2019</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18</w:t>
      </w:r>
      <w:r>
        <w:rPr>
          <w:rFonts w:hint="default" w:ascii="Times New Roman" w:hAnsi="Times New Roman" w:eastAsia="宋体" w:cs="Times New Roman"/>
          <w:sz w:val="24"/>
          <w:szCs w:val="24"/>
          <w:lang w:eastAsia="zh-CN"/>
        </w:rPr>
        <w:t>）《关于规</w:t>
      </w:r>
      <w:r>
        <w:rPr>
          <w:rFonts w:hint="default" w:ascii="Times New Roman" w:hAnsi="Times New Roman" w:eastAsia="宋体" w:cs="Times New Roman"/>
          <w:sz w:val="24"/>
          <w:szCs w:val="24"/>
        </w:rPr>
        <w:t>范建设单位自主开展建设项目竣工环</w:t>
      </w:r>
      <w:r>
        <w:rPr>
          <w:rFonts w:hint="default" w:ascii="Times New Roman" w:hAnsi="Times New Roman" w:eastAsia="宋体" w:cs="Times New Roman"/>
          <w:kern w:val="0"/>
          <w:sz w:val="24"/>
          <w:szCs w:val="24"/>
        </w:rPr>
        <w:t>境保护验收的通知》</w:t>
      </w:r>
      <w:r>
        <w:rPr>
          <w:rFonts w:hint="default" w:ascii="Times New Roman" w:hAnsi="Times New Roman" w:eastAsia="宋体" w:cs="Times New Roman"/>
          <w:sz w:val="24"/>
          <w:szCs w:val="24"/>
        </w:rPr>
        <w:t>（环境保护部）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2017年11月22日</w:t>
      </w:r>
      <w:r>
        <w:rPr>
          <w:rFonts w:hint="default" w:ascii="Times New Roman" w:hAnsi="Times New Roman" w:eastAsia="宋体" w:cs="Times New Roman"/>
          <w:sz w:val="24"/>
          <w:szCs w:val="24"/>
        </w:rPr>
        <w:t>起施行</w:t>
      </w:r>
      <w:r>
        <w:rPr>
          <w:rFonts w:hint="default"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19</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r>
        <w:rPr>
          <w:rFonts w:hint="default" w:ascii="Times New Roman" w:hAnsi="Times New Roman" w:eastAsia="宋体" w:cs="Times New Roman"/>
          <w:sz w:val="24"/>
          <w:szCs w:val="24"/>
          <w:lang w:eastAsia="zh-CN"/>
        </w:rPr>
        <w:t>，冀环办字函</w:t>
      </w:r>
      <w:r>
        <w:rPr>
          <w:rFonts w:hint="default" w:ascii="Times New Roman" w:hAnsi="Times New Roman" w:eastAsia="宋体" w:cs="Times New Roman"/>
          <w:sz w:val="24"/>
          <w:szCs w:val="24"/>
          <w:lang w:val="en-US" w:eastAsia="zh-CN"/>
        </w:rPr>
        <w:t>[2017]727号，2017.11.23</w:t>
      </w:r>
      <w:r>
        <w:rPr>
          <w:rFonts w:hint="default"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20</w:t>
      </w:r>
      <w:r>
        <w:rPr>
          <w:rFonts w:hint="default" w:ascii="Times New Roman" w:hAnsi="Times New Roman" w:eastAsia="宋体" w:cs="Times New Roman"/>
          <w:sz w:val="24"/>
          <w:szCs w:val="24"/>
        </w:rPr>
        <w:t>）《建设项目竣工环境保护验收技术指南 污染影响类》</w:t>
      </w:r>
      <w:r>
        <w:rPr>
          <w:rFonts w:hint="default" w:ascii="Times New Roman" w:hAnsi="Times New Roman" w:eastAsia="宋体" w:cs="Times New Roman"/>
          <w:sz w:val="24"/>
          <w:szCs w:val="24"/>
          <w:lang w:eastAsia="zh-CN"/>
        </w:rPr>
        <w:t>（生态</w:t>
      </w:r>
      <w:r>
        <w:rPr>
          <w:rFonts w:hint="default" w:ascii="Times New Roman" w:hAnsi="Times New Roman" w:cs="Times New Roman"/>
          <w:sz w:val="24"/>
          <w:szCs w:val="24"/>
          <w:lang w:eastAsia="zh-CN"/>
        </w:rPr>
        <w:t>环境</w:t>
      </w:r>
      <w:r>
        <w:rPr>
          <w:rFonts w:hint="default" w:ascii="Times New Roman" w:hAnsi="Times New Roman" w:eastAsia="宋体" w:cs="Times New Roman"/>
          <w:sz w:val="24"/>
          <w:szCs w:val="24"/>
          <w:lang w:eastAsia="zh-CN"/>
        </w:rPr>
        <w:t>部），公告</w:t>
      </w:r>
      <w:r>
        <w:rPr>
          <w:rFonts w:hint="default" w:ascii="Times New Roman" w:hAnsi="Times New Roman" w:eastAsia="宋体" w:cs="Times New Roman"/>
          <w:sz w:val="24"/>
          <w:szCs w:val="24"/>
          <w:lang w:val="en-US" w:eastAsia="zh-CN"/>
        </w:rPr>
        <w:t>2018年第9号</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2018.05.16。</w:t>
      </w:r>
    </w:p>
    <w:p>
      <w:pPr>
        <w:pStyle w:val="6"/>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auto"/>
        <w:outlineLvl w:val="1"/>
        <w:rPr>
          <w:rFonts w:hint="default" w:ascii="Times New Roman" w:hAnsi="Times New Roman" w:eastAsia="宋体" w:cs="Times New Roman"/>
        </w:rPr>
      </w:pPr>
      <w:bookmarkStart w:id="18" w:name="_Toc5019"/>
      <w:bookmarkStart w:id="19" w:name="_Toc25083"/>
      <w:bookmarkStart w:id="20" w:name="_Toc25756"/>
      <w:bookmarkStart w:id="21" w:name="_Toc31818"/>
      <w:r>
        <w:rPr>
          <w:rFonts w:hint="default" w:ascii="Times New Roman" w:hAnsi="Times New Roman" w:eastAsia="宋体" w:cs="Times New Roman"/>
        </w:rPr>
        <w:t>1.3 工程技术文件及批复文件</w:t>
      </w:r>
      <w:bookmarkEnd w:id="18"/>
      <w:bookmarkEnd w:id="19"/>
      <w:bookmarkEnd w:id="20"/>
      <w:bookmarkEnd w:id="2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cs="Times New Roman"/>
          <w:color w:val="auto"/>
          <w:sz w:val="24"/>
          <w:szCs w:val="24"/>
          <w:highlight w:val="none"/>
          <w:lang w:eastAsia="zh-CN"/>
        </w:rPr>
        <w:t>河北仁水环境科技有限公司</w:t>
      </w:r>
      <w:r>
        <w:rPr>
          <w:rFonts w:hint="eastAsia" w:ascii="Times New Roman" w:hAnsi="Times New Roman" w:cs="Times New Roman"/>
          <w:sz w:val="24"/>
          <w:szCs w:val="24"/>
          <w:lang w:val="en-US" w:eastAsia="zh-CN"/>
        </w:rPr>
        <w:t>，《</w:t>
      </w:r>
      <w:r>
        <w:rPr>
          <w:rFonts w:hint="eastAsia" w:ascii="宋体" w:hAnsi="宋体" w:cs="宋体"/>
          <w:sz w:val="24"/>
          <w:lang w:eastAsia="zh-CN"/>
        </w:rPr>
        <w:t>新麦菲地毯（沧州）有限公司新建</w:t>
      </w:r>
      <w:r>
        <w:rPr>
          <w:rFonts w:hint="eastAsia" w:ascii="Times New Roman" w:hAnsi="Times New Roman" w:cs="Times New Roman"/>
          <w:sz w:val="24"/>
          <w:szCs w:val="24"/>
          <w:lang w:val="en-US" w:eastAsia="zh-CN"/>
        </w:rPr>
        <w:t>年产300万平方米地毯项目</w:t>
      </w:r>
      <w:r>
        <w:rPr>
          <w:rFonts w:hint="eastAsia" w:ascii="Times New Roman" w:hAnsi="Times New Roman" w:eastAsia="宋体" w:cs="Times New Roman"/>
          <w:sz w:val="24"/>
          <w:szCs w:val="24"/>
          <w:lang w:val="en-US" w:eastAsia="zh-CN"/>
        </w:rPr>
        <w:t>环境影响报告表</w:t>
      </w:r>
      <w:r>
        <w:rPr>
          <w:rFonts w:hint="eastAsia" w:ascii="Times New Roman" w:hAnsi="Times New Roman" w:cs="Times New Roman"/>
          <w:sz w:val="24"/>
          <w:szCs w:val="24"/>
          <w:lang w:val="en-US" w:eastAsia="zh-CN"/>
        </w:rPr>
        <w:t>》，2021年06月</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eastAsia" w:ascii="Times New Roman" w:hAnsi="Times New Roman" w:cs="Times New Roman"/>
          <w:color w:val="auto"/>
          <w:kern w:val="0"/>
          <w:sz w:val="24"/>
          <w:szCs w:val="24"/>
          <w:lang w:val="en-US" w:eastAsia="zh-CN"/>
        </w:rPr>
        <w:t>沧县行政审批局</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highlight w:val="none"/>
          <w:lang w:val="en-US" w:eastAsia="zh-CN"/>
        </w:rPr>
        <w:t>沧县行</w:t>
      </w:r>
      <w:r>
        <w:rPr>
          <w:rFonts w:hint="eastAsia" w:ascii="Times New Roman" w:hAnsi="Times New Roman" w:cs="Times New Roman"/>
          <w:color w:val="auto"/>
          <w:sz w:val="24"/>
          <w:szCs w:val="24"/>
          <w:highlight w:val="none"/>
          <w:lang w:val="en-US" w:eastAsia="zh-CN"/>
        </w:rPr>
        <w:t>审（</w:t>
      </w:r>
      <w:r>
        <w:rPr>
          <w:rFonts w:hint="default" w:ascii="Times New Roman" w:hAnsi="Times New Roman" w:cs="Times New Roman"/>
          <w:color w:val="auto"/>
          <w:sz w:val="24"/>
          <w:szCs w:val="24"/>
          <w:highlight w:val="none"/>
          <w:lang w:val="en-US" w:eastAsia="zh-CN"/>
        </w:rPr>
        <w:t>环</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字〔2021〕151号</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关于《</w:t>
      </w:r>
      <w:r>
        <w:rPr>
          <w:rFonts w:hint="eastAsia" w:ascii="宋体" w:hAnsi="宋体" w:cs="宋体"/>
          <w:sz w:val="24"/>
          <w:lang w:eastAsia="zh-CN"/>
        </w:rPr>
        <w:t>新麦菲地毯（沧州）有限公司新建</w:t>
      </w:r>
      <w:r>
        <w:rPr>
          <w:rFonts w:hint="eastAsia" w:ascii="Times New Roman" w:hAnsi="Times New Roman" w:cs="Times New Roman"/>
          <w:sz w:val="24"/>
          <w:szCs w:val="24"/>
          <w:lang w:val="en-US" w:eastAsia="zh-CN"/>
        </w:rPr>
        <w:t>年产300万平方米地毯项目</w:t>
      </w:r>
      <w:r>
        <w:rPr>
          <w:rFonts w:hint="eastAsia" w:ascii="Times New Roman" w:hAnsi="Times New Roman" w:eastAsia="宋体" w:cs="Times New Roman"/>
          <w:sz w:val="24"/>
          <w:szCs w:val="24"/>
          <w:lang w:val="en-US" w:eastAsia="zh-CN"/>
        </w:rPr>
        <w:t>环境影响报告表</w:t>
      </w:r>
      <w:r>
        <w:rPr>
          <w:rFonts w:hint="default" w:ascii="Times New Roman" w:hAnsi="Times New Roman" w:eastAsia="宋体" w:cs="Times New Roman"/>
          <w:color w:val="auto"/>
          <w:sz w:val="24"/>
          <w:szCs w:val="24"/>
        </w:rPr>
        <w:t>》的审批意见，</w:t>
      </w:r>
      <w:r>
        <w:rPr>
          <w:rFonts w:hint="eastAsia" w:ascii="Times New Roman" w:hAnsi="Times New Roman" w:cs="Times New Roman"/>
          <w:color w:val="auto"/>
          <w:sz w:val="24"/>
          <w:szCs w:val="24"/>
          <w:lang w:val="en-US" w:eastAsia="zh-CN"/>
        </w:rPr>
        <w:t>2021年06月30日</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eastAsia="宋体" w:cs="Times New Roman"/>
        </w:rPr>
      </w:pPr>
      <w:bookmarkStart w:id="22" w:name="_Toc26991"/>
      <w:bookmarkStart w:id="23" w:name="_Toc21103"/>
      <w:bookmarkStart w:id="24" w:name="_Toc20655"/>
      <w:bookmarkStart w:id="25" w:name="_Toc5367"/>
      <w:r>
        <w:rPr>
          <w:rFonts w:hint="default" w:ascii="Times New Roman" w:hAnsi="Times New Roman" w:eastAsia="宋体" w:cs="Times New Roman"/>
        </w:rPr>
        <w:t>2 工程概况</w:t>
      </w:r>
      <w:bookmarkEnd w:id="22"/>
      <w:bookmarkEnd w:id="23"/>
      <w:bookmarkEnd w:id="24"/>
      <w:bookmarkEnd w:id="25"/>
    </w:p>
    <w:p>
      <w:pPr>
        <w:pStyle w:val="6"/>
        <w:rPr>
          <w:rFonts w:hint="default" w:ascii="Times New Roman" w:hAnsi="Times New Roman" w:eastAsia="宋体" w:cs="Times New Roman"/>
        </w:rPr>
      </w:pPr>
      <w:bookmarkStart w:id="26" w:name="_Toc13247"/>
      <w:bookmarkStart w:id="27" w:name="_Toc11367"/>
      <w:bookmarkStart w:id="28" w:name="_Toc29334"/>
      <w:bookmarkStart w:id="29" w:name="_Toc22753"/>
      <w:r>
        <w:rPr>
          <w:rFonts w:hint="default" w:ascii="Times New Roman" w:hAnsi="Times New Roman" w:eastAsia="宋体" w:cs="Times New Roman"/>
        </w:rPr>
        <w:t>2.1 项目基本情况</w:t>
      </w:r>
      <w:bookmarkEnd w:id="26"/>
      <w:bookmarkEnd w:id="27"/>
      <w:bookmarkEnd w:id="28"/>
      <w:bookmarkEnd w:id="29"/>
    </w:p>
    <w:p>
      <w:pPr>
        <w:pStyle w:val="7"/>
        <w:rPr>
          <w:rFonts w:hint="default" w:ascii="Times New Roman" w:hAnsi="Times New Roman" w:eastAsia="宋体" w:cs="Times New Roman"/>
        </w:rPr>
      </w:pPr>
      <w:bookmarkStart w:id="30" w:name="_Toc496979000"/>
      <w:bookmarkStart w:id="31" w:name="_Toc19257"/>
      <w:bookmarkStart w:id="32" w:name="_Toc20886"/>
      <w:bookmarkStart w:id="33" w:name="_Toc1800"/>
      <w:bookmarkStart w:id="34" w:name="_Toc1249"/>
      <w:bookmarkStart w:id="35" w:name="_Toc497001436"/>
      <w:bookmarkStart w:id="36" w:name="_Hlk496952384"/>
      <w:r>
        <w:rPr>
          <w:rFonts w:hint="default" w:ascii="Times New Roman" w:hAnsi="Times New Roman" w:eastAsia="宋体" w:cs="Times New Roman"/>
        </w:rPr>
        <w:t>2.1.1 基本情况</w:t>
      </w:r>
      <w:bookmarkEnd w:id="30"/>
      <w:bookmarkEnd w:id="31"/>
      <w:bookmarkEnd w:id="32"/>
      <w:bookmarkEnd w:id="33"/>
      <w:bookmarkEnd w:id="34"/>
      <w:bookmarkEnd w:id="35"/>
    </w:p>
    <w:bookmarkEnd w:id="36"/>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表2-1  项目基本情况</w:t>
      </w:r>
    </w:p>
    <w:tbl>
      <w:tblPr>
        <w:tblStyle w:val="22"/>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782"/>
        <w:gridCol w:w="552"/>
        <w:gridCol w:w="941"/>
        <w:gridCol w:w="732"/>
        <w:gridCol w:w="717"/>
        <w:gridCol w:w="786"/>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71" w:type="dxa"/>
            <w:tcMar>
              <w:top w:w="0" w:type="dxa"/>
              <w:left w:w="0" w:type="dxa"/>
              <w:bottom w:w="0" w:type="dxa"/>
              <w:right w:w="0" w:type="dxa"/>
            </w:tcMar>
            <w:vAlign w:val="center"/>
          </w:tcPr>
          <w:p>
            <w:pPr>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项目名称</w:t>
            </w:r>
          </w:p>
        </w:tc>
        <w:tc>
          <w:tcPr>
            <w:tcW w:w="7116" w:type="dxa"/>
            <w:gridSpan w:val="7"/>
            <w:tcMar>
              <w:top w:w="0" w:type="dxa"/>
              <w:left w:w="0" w:type="dxa"/>
              <w:bottom w:w="0" w:type="dxa"/>
              <w:right w:w="0" w:type="dxa"/>
            </w:tcMar>
            <w:vAlign w:val="center"/>
          </w:tcPr>
          <w:p>
            <w:pPr>
              <w:snapToGrid w:val="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eastAsia="zh-CN"/>
              </w:rPr>
              <w:t>新麦菲地毯（沧州）有限公司新建</w:t>
            </w:r>
            <w:r>
              <w:rPr>
                <w:rFonts w:hint="eastAsia" w:ascii="Times New Roman" w:hAnsi="Times New Roman" w:cs="Times New Roman"/>
                <w:sz w:val="24"/>
                <w:szCs w:val="24"/>
                <w:lang w:val="en-US" w:eastAsia="zh-CN"/>
              </w:rPr>
              <w:t>年产300万平方米地毯项目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71" w:type="dxa"/>
            <w:tcMar>
              <w:top w:w="0" w:type="dxa"/>
              <w:left w:w="0" w:type="dxa"/>
              <w:bottom w:w="0" w:type="dxa"/>
              <w:right w:w="0" w:type="dxa"/>
            </w:tcMar>
            <w:vAlign w:val="center"/>
          </w:tcPr>
          <w:p>
            <w:pPr>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建设单位</w:t>
            </w:r>
          </w:p>
        </w:tc>
        <w:tc>
          <w:tcPr>
            <w:tcW w:w="7116" w:type="dxa"/>
            <w:gridSpan w:val="7"/>
            <w:tcMar>
              <w:top w:w="0" w:type="dxa"/>
              <w:left w:w="0" w:type="dxa"/>
              <w:bottom w:w="0" w:type="dxa"/>
              <w:right w:w="0" w:type="dxa"/>
            </w:tcMar>
            <w:vAlign w:val="center"/>
          </w:tcPr>
          <w:p>
            <w:pPr>
              <w:snapToGrid w:val="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eastAsia="zh-CN"/>
              </w:rPr>
              <w:t>新麦菲地毯（沧州）有限公司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71" w:type="dxa"/>
            <w:tcMar>
              <w:top w:w="0" w:type="dxa"/>
              <w:left w:w="0" w:type="dxa"/>
              <w:bottom w:w="0" w:type="dxa"/>
              <w:right w:w="0" w:type="dxa"/>
            </w:tcMar>
            <w:vAlign w:val="center"/>
          </w:tcPr>
          <w:p>
            <w:pPr>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法人代表</w:t>
            </w:r>
          </w:p>
        </w:tc>
        <w:tc>
          <w:tcPr>
            <w:tcW w:w="1782" w:type="dxa"/>
            <w:tcMar>
              <w:top w:w="0" w:type="dxa"/>
              <w:left w:w="0" w:type="dxa"/>
              <w:bottom w:w="0" w:type="dxa"/>
              <w:right w:w="0" w:type="dxa"/>
            </w:tcMar>
            <w:vAlign w:val="center"/>
          </w:tcPr>
          <w:p>
            <w:pPr>
              <w:snapToGrid w:val="0"/>
              <w:jc w:val="center"/>
              <w:rPr>
                <w:rFonts w:hint="eastAsia" w:ascii="Times New Roman" w:hAnsi="Times New Roman" w:eastAsia="宋体" w:cs="Times New Roman"/>
                <w:sz w:val="24"/>
                <w:szCs w:val="24"/>
                <w:lang w:eastAsia="zh-CN"/>
              </w:rPr>
            </w:pPr>
            <w:r>
              <w:rPr>
                <w:rFonts w:hint="eastAsia"/>
                <w:sz w:val="24"/>
                <w:lang w:eastAsia="zh-CN"/>
              </w:rPr>
              <w:t>齐从顺</w:t>
            </w:r>
          </w:p>
        </w:tc>
        <w:tc>
          <w:tcPr>
            <w:tcW w:w="1493" w:type="dxa"/>
            <w:gridSpan w:val="2"/>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联系人</w:t>
            </w:r>
          </w:p>
        </w:tc>
        <w:tc>
          <w:tcPr>
            <w:tcW w:w="3841" w:type="dxa"/>
            <w:gridSpan w:val="4"/>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李继文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71" w:type="dxa"/>
            <w:tcMar>
              <w:top w:w="0" w:type="dxa"/>
              <w:left w:w="0" w:type="dxa"/>
              <w:bottom w:w="0" w:type="dxa"/>
              <w:right w:w="0" w:type="dxa"/>
            </w:tcMar>
            <w:vAlign w:val="center"/>
          </w:tcPr>
          <w:p>
            <w:pPr>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通信地址</w:t>
            </w:r>
          </w:p>
        </w:tc>
        <w:tc>
          <w:tcPr>
            <w:tcW w:w="7116" w:type="dxa"/>
            <w:gridSpan w:val="7"/>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河北省沧州市沧县高川乡高屯村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71" w:type="dxa"/>
            <w:tcMar>
              <w:top w:w="0" w:type="dxa"/>
              <w:left w:w="0" w:type="dxa"/>
              <w:bottom w:w="0" w:type="dxa"/>
              <w:right w:w="0" w:type="dxa"/>
            </w:tcMar>
            <w:vAlign w:val="center"/>
          </w:tcPr>
          <w:p>
            <w:pPr>
              <w:snapToGrid w:val="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联系电话</w:t>
            </w:r>
          </w:p>
        </w:tc>
        <w:tc>
          <w:tcPr>
            <w:tcW w:w="1782" w:type="dxa"/>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18931792020</w:t>
            </w:r>
          </w:p>
        </w:tc>
        <w:tc>
          <w:tcPr>
            <w:tcW w:w="1493" w:type="dxa"/>
            <w:gridSpan w:val="2"/>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邮编</w:t>
            </w:r>
          </w:p>
        </w:tc>
        <w:tc>
          <w:tcPr>
            <w:tcW w:w="3841" w:type="dxa"/>
            <w:gridSpan w:val="4"/>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061757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71" w:type="dxa"/>
            <w:tcMar>
              <w:top w:w="0" w:type="dxa"/>
              <w:left w:w="0" w:type="dxa"/>
              <w:bottom w:w="0" w:type="dxa"/>
              <w:right w:w="0" w:type="dxa"/>
            </w:tcMar>
            <w:vAlign w:val="center"/>
          </w:tcPr>
          <w:p>
            <w:pPr>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项目性质</w:t>
            </w:r>
          </w:p>
        </w:tc>
        <w:tc>
          <w:tcPr>
            <w:tcW w:w="1782" w:type="dxa"/>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lang w:eastAsia="zh-CN"/>
              </w:rPr>
            </w:pPr>
            <w:r>
              <w:rPr>
                <w:rFonts w:hint="eastAsia"/>
                <w:sz w:val="24"/>
                <w:lang w:eastAsia="zh-CN"/>
              </w:rPr>
              <w:t>新</w:t>
            </w:r>
            <w:r>
              <w:rPr>
                <w:sz w:val="24"/>
              </w:rPr>
              <w:t>建</w:t>
            </w:r>
          </w:p>
        </w:tc>
        <w:tc>
          <w:tcPr>
            <w:tcW w:w="1493" w:type="dxa"/>
            <w:gridSpan w:val="2"/>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行业类别</w:t>
            </w:r>
          </w:p>
        </w:tc>
        <w:tc>
          <w:tcPr>
            <w:tcW w:w="3841" w:type="dxa"/>
            <w:gridSpan w:val="4"/>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日用塑料制品制造C2927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71" w:type="dxa"/>
            <w:tcMar>
              <w:top w:w="0" w:type="dxa"/>
              <w:left w:w="0" w:type="dxa"/>
              <w:bottom w:w="0" w:type="dxa"/>
              <w:right w:w="0" w:type="dxa"/>
            </w:tcMar>
            <w:vAlign w:val="center"/>
          </w:tcPr>
          <w:p>
            <w:pPr>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总投资（万元）</w:t>
            </w:r>
          </w:p>
        </w:tc>
        <w:tc>
          <w:tcPr>
            <w:tcW w:w="1782" w:type="dxa"/>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500</w:t>
            </w:r>
          </w:p>
        </w:tc>
        <w:tc>
          <w:tcPr>
            <w:tcW w:w="1493" w:type="dxa"/>
            <w:gridSpan w:val="2"/>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w:t>
            </w:r>
          </w:p>
          <w:p>
            <w:pPr>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（万元）</w:t>
            </w:r>
          </w:p>
        </w:tc>
        <w:tc>
          <w:tcPr>
            <w:tcW w:w="732" w:type="dxa"/>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w:t>
            </w:r>
          </w:p>
        </w:tc>
        <w:tc>
          <w:tcPr>
            <w:tcW w:w="1503" w:type="dxa"/>
            <w:gridSpan w:val="2"/>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环保投资占总投资比列（%）</w:t>
            </w:r>
          </w:p>
        </w:tc>
        <w:tc>
          <w:tcPr>
            <w:tcW w:w="1606" w:type="dxa"/>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71" w:type="dxa"/>
            <w:tcMar>
              <w:top w:w="0" w:type="dxa"/>
              <w:left w:w="0" w:type="dxa"/>
              <w:bottom w:w="0" w:type="dxa"/>
              <w:right w:w="0" w:type="dxa"/>
            </w:tcMar>
            <w:vAlign w:val="center"/>
          </w:tcPr>
          <w:p>
            <w:pPr>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116" w:type="dxa"/>
            <w:gridSpan w:val="7"/>
            <w:tcMar>
              <w:top w:w="0" w:type="dxa"/>
              <w:left w:w="0" w:type="dxa"/>
              <w:bottom w:w="0" w:type="dxa"/>
              <w:right w:w="0" w:type="dxa"/>
            </w:tcMar>
            <w:vAlign w:val="center"/>
          </w:tcPr>
          <w:p>
            <w:pPr>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河北省沧州市沧县高川乡高屯村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71" w:type="dxa"/>
            <w:tcMar>
              <w:top w:w="0" w:type="dxa"/>
              <w:left w:w="0" w:type="dxa"/>
              <w:bottom w:w="0" w:type="dxa"/>
              <w:right w:w="0" w:type="dxa"/>
            </w:tcMar>
            <w:vAlign w:val="center"/>
          </w:tcPr>
          <w:p>
            <w:pPr>
              <w:snapToGrid w:val="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rPr>
              <w:t>立项审批部门</w:t>
            </w:r>
          </w:p>
        </w:tc>
        <w:tc>
          <w:tcPr>
            <w:tcW w:w="2334" w:type="dxa"/>
            <w:gridSpan w:val="2"/>
            <w:tcMar>
              <w:top w:w="0" w:type="dxa"/>
              <w:left w:w="0" w:type="dxa"/>
              <w:bottom w:w="0" w:type="dxa"/>
              <w:right w:w="0" w:type="dxa"/>
            </w:tcMar>
            <w:vAlign w:val="center"/>
          </w:tcPr>
          <w:p>
            <w:pPr>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沧县行政审批局</w:t>
            </w:r>
          </w:p>
        </w:tc>
        <w:tc>
          <w:tcPr>
            <w:tcW w:w="2390" w:type="dxa"/>
            <w:gridSpan w:val="3"/>
            <w:tcMar>
              <w:top w:w="0" w:type="dxa"/>
              <w:left w:w="0" w:type="dxa"/>
              <w:bottom w:w="0" w:type="dxa"/>
              <w:right w:w="0" w:type="dxa"/>
            </w:tcMar>
            <w:vAlign w:val="center"/>
          </w:tcPr>
          <w:p>
            <w:pPr>
              <w:snapToGrid w:val="0"/>
              <w:jc w:val="center"/>
              <w:rPr>
                <w:rFonts w:hint="default" w:eastAsia="宋体" w:cs="Times New Roman"/>
                <w:sz w:val="24"/>
                <w:lang w:val="en-US" w:eastAsia="zh-CN"/>
              </w:rPr>
            </w:pPr>
            <w:r>
              <w:rPr>
                <w:rFonts w:hint="default" w:eastAsia="宋体" w:cs="Times New Roman"/>
                <w:sz w:val="24"/>
                <w:lang w:eastAsia="zh-CN"/>
              </w:rPr>
              <w:t>批准文号</w:t>
            </w:r>
          </w:p>
        </w:tc>
        <w:tc>
          <w:tcPr>
            <w:tcW w:w="2392" w:type="dxa"/>
            <w:gridSpan w:val="2"/>
            <w:tcMar>
              <w:top w:w="0" w:type="dxa"/>
              <w:left w:w="0" w:type="dxa"/>
              <w:bottom w:w="0" w:type="dxa"/>
              <w:right w:w="0" w:type="dxa"/>
            </w:tcMar>
            <w:vAlign w:val="center"/>
          </w:tcPr>
          <w:p>
            <w:pPr>
              <w:snapToGrid w:val="0"/>
              <w:jc w:val="center"/>
              <w:rPr>
                <w:rFonts w:hint="default" w:eastAsia="宋体" w:cs="Times New Roman"/>
                <w:sz w:val="24"/>
                <w:lang w:val="en-US" w:eastAsia="zh-CN"/>
              </w:rPr>
            </w:pPr>
            <w:r>
              <w:rPr>
                <w:rFonts w:hint="default" w:eastAsia="宋体" w:cs="Times New Roman"/>
                <w:sz w:val="24"/>
                <w:lang w:val="en-US" w:eastAsia="zh-CN"/>
              </w:rPr>
              <w:t>沧县行审[备]字[2021]19号</w:t>
            </w:r>
          </w:p>
        </w:tc>
      </w:tr>
    </w:tbl>
    <w:p>
      <w:pPr>
        <w:pStyle w:val="7"/>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rPr>
      </w:pPr>
      <w:bookmarkStart w:id="37" w:name="_Toc17116"/>
      <w:bookmarkStart w:id="38" w:name="_Toc496979001"/>
      <w:bookmarkStart w:id="39" w:name="_Toc497001437"/>
      <w:bookmarkStart w:id="40" w:name="_Toc5505"/>
      <w:bookmarkStart w:id="41" w:name="_Toc20144"/>
      <w:bookmarkStart w:id="42" w:name="_Toc8488"/>
      <w:r>
        <w:rPr>
          <w:rFonts w:hint="default" w:ascii="Times New Roman" w:hAnsi="Times New Roman" w:eastAsia="宋体" w:cs="Times New Roman"/>
        </w:rPr>
        <w:t>2.1.2 地理位置及周边情况</w:t>
      </w:r>
      <w:bookmarkEnd w:id="37"/>
      <w:bookmarkEnd w:id="38"/>
      <w:bookmarkEnd w:id="39"/>
      <w:bookmarkEnd w:id="40"/>
      <w:bookmarkEnd w:id="41"/>
      <w:bookmarkEnd w:id="4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项目位于</w:t>
      </w:r>
      <w:r>
        <w:rPr>
          <w:rFonts w:hint="default" w:ascii="Times New Roman" w:hAnsi="Times New Roman" w:eastAsia="宋体" w:cs="Times New Roman"/>
          <w:sz w:val="24"/>
          <w:szCs w:val="24"/>
          <w:lang w:eastAsia="zh-CN"/>
        </w:rPr>
        <w:t>河北省沧州市沧县高川乡高屯村</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highlight w:val="none"/>
          <w:lang w:val="en-US" w:eastAsia="zh-CN"/>
        </w:rPr>
        <w:t>厂址中</w:t>
      </w:r>
      <w:r>
        <w:rPr>
          <w:rFonts w:hint="default" w:ascii="Times New Roman" w:hAnsi="Times New Roman" w:cs="Times New Roman"/>
          <w:sz w:val="24"/>
          <w:szCs w:val="24"/>
          <w:lang w:val="en-US" w:eastAsia="zh-CN"/>
        </w:rPr>
        <w:t>心坐标为东经</w:t>
      </w:r>
      <w:r>
        <w:rPr>
          <w:rFonts w:hint="eastAsia" w:ascii="Times New Roman" w:hAnsi="Times New Roman" w:cs="Times New Roman"/>
          <w:sz w:val="24"/>
          <w:szCs w:val="24"/>
          <w:lang w:val="en-US" w:eastAsia="zh-CN"/>
        </w:rPr>
        <w:t>116</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36</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53.746</w:t>
      </w:r>
      <w:r>
        <w:rPr>
          <w:rFonts w:hint="default" w:ascii="Times New Roman" w:hAnsi="Times New Roman" w:cs="Times New Roman"/>
          <w:sz w:val="24"/>
          <w:szCs w:val="24"/>
          <w:lang w:val="en-US" w:eastAsia="zh-CN"/>
        </w:rPr>
        <w:t>"，北纬38°</w:t>
      </w:r>
      <w:r>
        <w:rPr>
          <w:rFonts w:hint="eastAsia" w:ascii="Times New Roman" w:hAnsi="Times New Roman" w:cs="Times New Roman"/>
          <w:sz w:val="24"/>
          <w:szCs w:val="24"/>
          <w:lang w:val="en-US" w:eastAsia="zh-CN"/>
        </w:rPr>
        <w:t>16</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34.335</w:t>
      </w:r>
      <w:r>
        <w:rPr>
          <w:rFonts w:hint="default" w:ascii="Times New Roman" w:hAnsi="Times New Roman" w:cs="Times New Roman"/>
          <w:sz w:val="24"/>
          <w:szCs w:val="24"/>
          <w:lang w:val="en-US" w:eastAsia="zh-CN"/>
        </w:rPr>
        <w:t>"。项目北侧为307国道，南侧为空地，西侧隔道路为沧州广起新型建材有限公司，东侧为金水湾小区。</w:t>
      </w:r>
      <w:r>
        <w:rPr>
          <w:rFonts w:hint="default" w:ascii="Times New Roman" w:hAnsi="Times New Roman" w:cs="Times New Roman"/>
          <w:sz w:val="24"/>
          <w:szCs w:val="24"/>
        </w:rPr>
        <w:t>地理位置详见附图1</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eastAsia="zh-CN"/>
        </w:rPr>
        <w:t>项目周边关系示意图见附图2</w:t>
      </w:r>
      <w:r>
        <w:rPr>
          <w:rFonts w:hint="default" w:ascii="Times New Roman" w:hAnsi="Times New Roman" w:cs="Times New Roman"/>
          <w:sz w:val="24"/>
          <w:szCs w:val="24"/>
        </w:rPr>
        <w:t>。</w:t>
      </w:r>
    </w:p>
    <w:p>
      <w:pPr>
        <w:pStyle w:val="7"/>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rPr>
      </w:pPr>
      <w:bookmarkStart w:id="43" w:name="_Toc20079"/>
      <w:bookmarkStart w:id="44" w:name="_Toc497001438"/>
      <w:bookmarkStart w:id="45" w:name="_Toc29219"/>
      <w:bookmarkStart w:id="46" w:name="_Toc32226"/>
      <w:bookmarkStart w:id="47" w:name="_Toc11234"/>
      <w:bookmarkStart w:id="48" w:name="_Toc496979002"/>
      <w:r>
        <w:rPr>
          <w:rFonts w:hint="default" w:ascii="Times New Roman" w:hAnsi="Times New Roman" w:eastAsia="宋体" w:cs="Times New Roman"/>
        </w:rPr>
        <w:t>2.1.3 厂区平面布置</w:t>
      </w:r>
      <w:bookmarkEnd w:id="43"/>
      <w:bookmarkEnd w:id="44"/>
      <w:bookmarkEnd w:id="45"/>
      <w:bookmarkEnd w:id="46"/>
      <w:bookmarkEnd w:id="47"/>
      <w:bookmarkEnd w:id="4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项目平面布置图见附图3。</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rPr>
      </w:pPr>
      <w:bookmarkStart w:id="49" w:name="_Toc23037"/>
      <w:bookmarkStart w:id="50" w:name="_Toc340"/>
      <w:bookmarkStart w:id="51" w:name="_Toc23208"/>
      <w:bookmarkStart w:id="52" w:name="_Toc32048"/>
      <w:r>
        <w:rPr>
          <w:rFonts w:hint="default" w:ascii="Times New Roman" w:hAnsi="Times New Roman" w:eastAsia="宋体" w:cs="Times New Roman"/>
        </w:rPr>
        <w:t>2.2 建设内容</w:t>
      </w:r>
      <w:bookmarkEnd w:id="49"/>
      <w:bookmarkEnd w:id="50"/>
      <w:bookmarkEnd w:id="51"/>
      <w:bookmarkEnd w:id="52"/>
    </w:p>
    <w:p>
      <w:pPr>
        <w:pStyle w:val="7"/>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rPr>
      </w:pPr>
      <w:bookmarkStart w:id="53" w:name="_Toc27539"/>
      <w:bookmarkStart w:id="54" w:name="_Toc26634"/>
      <w:bookmarkStart w:id="55" w:name="_Toc14925"/>
      <w:bookmarkStart w:id="56" w:name="_Toc10787"/>
      <w:bookmarkStart w:id="57" w:name="_Toc496979004"/>
      <w:bookmarkStart w:id="58" w:name="_Toc497001440"/>
      <w:r>
        <w:rPr>
          <w:rFonts w:hint="default" w:ascii="Times New Roman" w:hAnsi="Times New Roman" w:eastAsia="宋体" w:cs="Times New Roman"/>
        </w:rPr>
        <w:t>2.2.1 生产规模及产品方案</w:t>
      </w:r>
      <w:bookmarkEnd w:id="53"/>
      <w:bookmarkEnd w:id="54"/>
      <w:bookmarkEnd w:id="55"/>
      <w:bookmarkEnd w:id="56"/>
      <w:bookmarkEnd w:id="57"/>
      <w:bookmarkEnd w:id="58"/>
    </w:p>
    <w:p>
      <w:pPr>
        <w:spacing w:line="480" w:lineRule="exact"/>
        <w:ind w:firstLine="480" w:firstLineChars="200"/>
        <w:rPr>
          <w:rFonts w:hint="default" w:ascii="Times New Roman" w:hAnsi="Times New Roman" w:cs="Times New Roman"/>
          <w:sz w:val="24"/>
          <w:szCs w:val="24"/>
        </w:rPr>
      </w:pPr>
      <w:bookmarkStart w:id="59" w:name="_Toc496979005"/>
      <w:bookmarkStart w:id="60" w:name="_Toc20908"/>
      <w:bookmarkStart w:id="61" w:name="_Toc23799"/>
      <w:bookmarkStart w:id="62" w:name="_Toc21731"/>
      <w:bookmarkStart w:id="63" w:name="_Toc497001441"/>
      <w:r>
        <w:rPr>
          <w:rFonts w:hint="eastAsia" w:ascii="Times New Roman" w:hAnsi="Times New Roman" w:eastAsia="宋体" w:cs="Times New Roman"/>
          <w:kern w:val="2"/>
          <w:sz w:val="24"/>
          <w:szCs w:val="24"/>
          <w:lang w:val="en-US" w:eastAsia="zh-CN" w:bidi="ar-SA"/>
        </w:rPr>
        <w:t>本项目主要产品为</w:t>
      </w:r>
      <w:r>
        <w:rPr>
          <w:rFonts w:hint="eastAsia" w:ascii="Times New Roman" w:hAnsi="Times New Roman" w:cs="Times New Roman"/>
          <w:bCs/>
          <w:sz w:val="24"/>
          <w:szCs w:val="24"/>
          <w:lang w:eastAsia="zh-CN"/>
        </w:rPr>
        <w:t>地毯</w:t>
      </w:r>
      <w:r>
        <w:rPr>
          <w:rFonts w:hint="eastAsia" w:ascii="Times New Roman" w:hAnsi="Times New Roman" w:eastAsia="宋体" w:cs="Times New Roman"/>
          <w:kern w:val="2"/>
          <w:sz w:val="24"/>
          <w:szCs w:val="24"/>
          <w:lang w:val="en-US" w:eastAsia="zh-CN" w:bidi="ar-SA"/>
        </w:rPr>
        <w:t>，</w:t>
      </w:r>
      <w:r>
        <w:rPr>
          <w:rFonts w:hint="default" w:ascii="Times New Roman" w:hAnsi="Times New Roman" w:cs="Times New Roman"/>
          <w:bCs/>
          <w:sz w:val="24"/>
          <w:szCs w:val="24"/>
          <w:lang w:eastAsia="zh-CN"/>
        </w:rPr>
        <w:t>年产</w:t>
      </w:r>
      <w:r>
        <w:rPr>
          <w:rFonts w:hint="eastAsia" w:ascii="Times New Roman" w:hAnsi="Times New Roman" w:cs="Times New Roman"/>
          <w:sz w:val="24"/>
          <w:szCs w:val="24"/>
          <w:lang w:val="en-US" w:eastAsia="zh-CN"/>
        </w:rPr>
        <w:t>300万平方米地毯</w:t>
      </w:r>
      <w:r>
        <w:rPr>
          <w:rFonts w:hint="default" w:ascii="Times New Roman" w:hAnsi="Times New Roman" w:cs="Times New Roman"/>
          <w:bCs/>
          <w:sz w:val="24"/>
          <w:szCs w:val="24"/>
        </w:rPr>
        <w:t>。</w:t>
      </w:r>
    </w:p>
    <w:p>
      <w:pPr>
        <w:bidi w:val="0"/>
        <w:rPr>
          <w:rFonts w:hint="default"/>
        </w:rPr>
      </w:pPr>
    </w:p>
    <w:p>
      <w:pPr>
        <w:pStyle w:val="2"/>
        <w:rPr>
          <w:rFonts w:hint="default"/>
        </w:rPr>
      </w:pPr>
    </w:p>
    <w:p>
      <w:pPr>
        <w:pStyle w:val="7"/>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lang w:eastAsia="zh-CN"/>
        </w:rPr>
      </w:pPr>
      <w:bookmarkStart w:id="64" w:name="_Toc21736"/>
      <w:r>
        <w:rPr>
          <w:rFonts w:hint="default" w:ascii="Times New Roman" w:hAnsi="Times New Roman" w:eastAsia="宋体" w:cs="Times New Roman"/>
        </w:rPr>
        <w:t>2.2.2 主要原辅材料</w:t>
      </w:r>
      <w:bookmarkEnd w:id="59"/>
      <w:bookmarkEnd w:id="60"/>
      <w:bookmarkEnd w:id="61"/>
      <w:bookmarkEnd w:id="62"/>
      <w:bookmarkEnd w:id="63"/>
      <w:bookmarkEnd w:id="64"/>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原辅材料及能源消耗表见表2-2。</w:t>
      </w:r>
    </w:p>
    <w:p>
      <w:pPr>
        <w:adjustRightInd w:val="0"/>
        <w:snapToGrid w:val="0"/>
        <w:spacing w:line="480" w:lineRule="atLeast"/>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表2-2  原辅材料及能源消耗表</w:t>
      </w:r>
    </w:p>
    <w:tbl>
      <w:tblPr>
        <w:tblStyle w:val="2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046"/>
        <w:gridCol w:w="1403"/>
        <w:gridCol w:w="1839"/>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exact"/>
          <w:tblHeader/>
          <w:jc w:val="center"/>
        </w:trPr>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color w:val="000000"/>
                <w:szCs w:val="21"/>
              </w:rPr>
            </w:pPr>
            <w:bookmarkStart w:id="65" w:name="_Toc4853"/>
            <w:bookmarkStart w:id="66" w:name="_Toc496979006"/>
            <w:bookmarkStart w:id="67" w:name="_Toc5968"/>
            <w:bookmarkStart w:id="68" w:name="_Toc26045"/>
            <w:bookmarkStart w:id="69" w:name="_Toc497001442"/>
            <w:r>
              <w:rPr>
                <w:bCs/>
                <w:color w:val="000000"/>
                <w:szCs w:val="21"/>
              </w:rPr>
              <w:t>序号</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color w:val="000000"/>
                <w:szCs w:val="21"/>
              </w:rPr>
            </w:pPr>
            <w:r>
              <w:rPr>
                <w:bCs/>
                <w:color w:val="000000"/>
                <w:szCs w:val="21"/>
              </w:rPr>
              <w:t>名称</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color w:val="000000"/>
                <w:szCs w:val="21"/>
              </w:rPr>
            </w:pPr>
            <w:r>
              <w:rPr>
                <w:bCs/>
                <w:color w:val="000000"/>
                <w:szCs w:val="21"/>
              </w:rPr>
              <w:t>用量</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color w:val="000000"/>
                <w:szCs w:val="21"/>
              </w:rPr>
            </w:pPr>
            <w:r>
              <w:rPr>
                <w:bCs/>
                <w:color w:val="000000"/>
                <w:szCs w:val="21"/>
              </w:rPr>
              <w:t>单位</w:t>
            </w:r>
          </w:p>
        </w:tc>
        <w:tc>
          <w:tcPr>
            <w:tcW w:w="1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color w:val="000000"/>
                <w:szCs w:val="21"/>
              </w:rPr>
            </w:pPr>
            <w:r>
              <w:rPr>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Cs w:val="21"/>
              </w:rPr>
            </w:pPr>
            <w:r>
              <w:rPr>
                <w:color w:val="000000"/>
                <w:szCs w:val="21"/>
              </w:rPr>
              <w:t>1</w:t>
            </w:r>
          </w:p>
        </w:tc>
        <w:tc>
          <w:tcPr>
            <w:tcW w:w="1642" w:type="dxa"/>
            <w:tcBorders>
              <w:tl2br w:val="nil"/>
              <w:tr2bl w:val="nil"/>
            </w:tcBorders>
            <w:noWrap w:val="0"/>
            <w:vAlign w:val="center"/>
          </w:tcPr>
          <w:p>
            <w:pPr>
              <w:jc w:val="center"/>
              <w:rPr>
                <w:rFonts w:ascii="??" w:hAnsi="??" w:eastAsia="宋体" w:cs="Times New Roman"/>
                <w:color w:val="000000"/>
                <w:kern w:val="2"/>
                <w:sz w:val="21"/>
                <w:szCs w:val="21"/>
                <w:shd w:val="clear" w:color="auto" w:fill="auto"/>
                <w:lang w:val="en-US" w:eastAsia="zh-CN" w:bidi="ar-SA"/>
              </w:rPr>
            </w:pPr>
            <w:r>
              <w:rPr>
                <w:color w:val="000000"/>
                <w:szCs w:val="21"/>
                <w:shd w:val="clear" w:color="auto" w:fill="auto"/>
              </w:rPr>
              <w:t>增</w:t>
            </w:r>
            <w:r>
              <w:rPr>
                <w:rFonts w:hint="eastAsia"/>
                <w:color w:val="000000"/>
                <w:szCs w:val="21"/>
                <w:shd w:val="clear" w:color="auto" w:fill="auto"/>
              </w:rPr>
              <w:t>塑</w:t>
            </w:r>
            <w:r>
              <w:rPr>
                <w:color w:val="000000"/>
                <w:szCs w:val="21"/>
                <w:shd w:val="clear" w:color="auto" w:fill="auto"/>
              </w:rPr>
              <w:t>剂</w:t>
            </w:r>
          </w:p>
        </w:tc>
        <w:tc>
          <w:tcPr>
            <w:tcW w:w="1126" w:type="dxa"/>
            <w:tcBorders>
              <w:tl2br w:val="nil"/>
              <w:tr2bl w:val="nil"/>
            </w:tcBorders>
            <w:noWrap w:val="0"/>
            <w:vAlign w:val="center"/>
          </w:tcPr>
          <w:p>
            <w:pPr>
              <w:widowControl/>
              <w:jc w:val="center"/>
              <w:textAlignment w:val="baseline"/>
              <w:rPr>
                <w:color w:val="000000"/>
                <w:szCs w:val="21"/>
              </w:rPr>
            </w:pPr>
            <w:r>
              <w:rPr>
                <w:rFonts w:hint="eastAsia"/>
                <w:color w:val="000000"/>
                <w:kern w:val="0"/>
                <w:szCs w:val="21"/>
                <w:u w:val="none" w:color="000000"/>
                <w:shd w:val="clear" w:color="auto" w:fill="auto"/>
              </w:rPr>
              <w:t>400</w:t>
            </w:r>
          </w:p>
        </w:tc>
        <w:tc>
          <w:tcPr>
            <w:tcW w:w="1476" w:type="dxa"/>
            <w:tcBorders>
              <w:tl2br w:val="nil"/>
              <w:tr2bl w:val="nil"/>
            </w:tcBorders>
            <w:noWrap w:val="0"/>
            <w:vAlign w:val="center"/>
          </w:tcPr>
          <w:p>
            <w:pPr>
              <w:widowControl/>
              <w:jc w:val="center"/>
              <w:textAlignment w:val="baseline"/>
              <w:rPr>
                <w:color w:val="000000"/>
                <w:szCs w:val="21"/>
              </w:rPr>
            </w:pPr>
            <w:r>
              <w:rPr>
                <w:color w:val="000000"/>
                <w:kern w:val="0"/>
                <w:szCs w:val="21"/>
                <w:u w:val="none" w:color="000000"/>
                <w:shd w:val="clear" w:color="auto" w:fill="auto"/>
              </w:rPr>
              <w:t>t/a</w:t>
            </w:r>
          </w:p>
        </w:tc>
        <w:tc>
          <w:tcPr>
            <w:tcW w:w="1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color w:val="000000"/>
                <w:szCs w:val="21"/>
                <w:lang w:eastAsia="zh-CN"/>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000000"/>
                <w:szCs w:val="21"/>
              </w:rPr>
            </w:pPr>
            <w:r>
              <w:rPr>
                <w:rFonts w:hint="eastAsia"/>
                <w:color w:val="000000"/>
                <w:szCs w:val="21"/>
              </w:rPr>
              <w:t>2</w:t>
            </w:r>
          </w:p>
        </w:tc>
        <w:tc>
          <w:tcPr>
            <w:tcW w:w="1642" w:type="dxa"/>
            <w:tcBorders>
              <w:tl2br w:val="nil"/>
              <w:tr2bl w:val="nil"/>
            </w:tcBorders>
            <w:noWrap w:val="0"/>
            <w:vAlign w:val="center"/>
          </w:tcPr>
          <w:p>
            <w:pPr>
              <w:jc w:val="center"/>
              <w:rPr>
                <w:rFonts w:hint="eastAsia" w:ascii="??" w:hAnsi="??" w:eastAsia="宋体" w:cs="Times New Roman"/>
                <w:color w:val="000000"/>
                <w:kern w:val="2"/>
                <w:sz w:val="21"/>
                <w:szCs w:val="21"/>
                <w:shd w:val="clear" w:color="auto" w:fill="auto"/>
                <w:lang w:val="en-US" w:eastAsia="zh-CN" w:bidi="ar-SA"/>
              </w:rPr>
            </w:pPr>
            <w:r>
              <w:rPr>
                <w:color w:val="000000"/>
                <w:szCs w:val="21"/>
                <w:shd w:val="clear" w:color="auto" w:fill="auto"/>
              </w:rPr>
              <w:t>稳定剂</w:t>
            </w:r>
          </w:p>
        </w:tc>
        <w:tc>
          <w:tcPr>
            <w:tcW w:w="1126" w:type="dxa"/>
            <w:tcBorders>
              <w:tl2br w:val="nil"/>
              <w:tr2bl w:val="nil"/>
            </w:tcBorders>
            <w:noWrap w:val="0"/>
            <w:vAlign w:val="center"/>
          </w:tcPr>
          <w:p>
            <w:pPr>
              <w:widowControl/>
              <w:jc w:val="center"/>
              <w:textAlignment w:val="baseline"/>
              <w:rPr>
                <w:color w:val="000000"/>
                <w:szCs w:val="21"/>
              </w:rPr>
            </w:pPr>
            <w:r>
              <w:rPr>
                <w:rFonts w:hint="eastAsia"/>
                <w:color w:val="000000"/>
                <w:kern w:val="0"/>
                <w:szCs w:val="21"/>
                <w:u w:val="none" w:color="000000"/>
                <w:shd w:val="clear" w:color="auto" w:fill="auto"/>
              </w:rPr>
              <w:t>8</w:t>
            </w:r>
          </w:p>
        </w:tc>
        <w:tc>
          <w:tcPr>
            <w:tcW w:w="1476" w:type="dxa"/>
            <w:tcBorders>
              <w:tl2br w:val="nil"/>
              <w:tr2bl w:val="nil"/>
            </w:tcBorders>
            <w:noWrap w:val="0"/>
            <w:vAlign w:val="center"/>
          </w:tcPr>
          <w:p>
            <w:pPr>
              <w:widowControl/>
              <w:jc w:val="center"/>
              <w:textAlignment w:val="baseline"/>
              <w:rPr>
                <w:color w:val="000000"/>
                <w:szCs w:val="21"/>
              </w:rPr>
            </w:pPr>
            <w:r>
              <w:rPr>
                <w:color w:val="000000"/>
                <w:kern w:val="0"/>
                <w:szCs w:val="21"/>
                <w:u w:val="none" w:color="000000"/>
                <w:shd w:val="clear" w:color="auto" w:fill="auto"/>
              </w:rPr>
              <w:t>t/a</w:t>
            </w:r>
          </w:p>
        </w:tc>
        <w:tc>
          <w:tcPr>
            <w:tcW w:w="1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Cs w:val="21"/>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 w:hAnsi="??" w:eastAsia="宋体" w:cs="Times New Roman"/>
                <w:color w:val="000000"/>
                <w:kern w:val="2"/>
                <w:sz w:val="21"/>
                <w:szCs w:val="21"/>
                <w:lang w:val="en-US" w:eastAsia="zh-CN" w:bidi="ar-SA"/>
              </w:rPr>
            </w:pPr>
            <w:r>
              <w:rPr>
                <w:rFonts w:hint="eastAsia"/>
                <w:color w:val="000000"/>
                <w:szCs w:val="21"/>
              </w:rPr>
              <w:t>3</w:t>
            </w:r>
          </w:p>
        </w:tc>
        <w:tc>
          <w:tcPr>
            <w:tcW w:w="1642" w:type="dxa"/>
            <w:tcBorders>
              <w:tl2br w:val="nil"/>
              <w:tr2bl w:val="nil"/>
            </w:tcBorders>
            <w:noWrap w:val="0"/>
            <w:vAlign w:val="center"/>
          </w:tcPr>
          <w:p>
            <w:pPr>
              <w:jc w:val="center"/>
              <w:rPr>
                <w:color w:val="000000"/>
                <w:szCs w:val="21"/>
                <w:shd w:val="clear" w:color="auto" w:fill="auto"/>
              </w:rPr>
            </w:pPr>
            <w:r>
              <w:rPr>
                <w:color w:val="000000"/>
                <w:szCs w:val="21"/>
                <w:shd w:val="clear" w:color="auto" w:fill="auto"/>
              </w:rPr>
              <w:t>炭黑</w:t>
            </w:r>
          </w:p>
        </w:tc>
        <w:tc>
          <w:tcPr>
            <w:tcW w:w="1126" w:type="dxa"/>
            <w:tcBorders>
              <w:tl2br w:val="nil"/>
              <w:tr2bl w:val="nil"/>
            </w:tcBorders>
            <w:noWrap w:val="0"/>
            <w:vAlign w:val="center"/>
          </w:tcPr>
          <w:p>
            <w:pPr>
              <w:widowControl/>
              <w:jc w:val="center"/>
              <w:textAlignment w:val="baseline"/>
              <w:rPr>
                <w:rFonts w:hint="eastAsia"/>
                <w:color w:val="000000"/>
                <w:szCs w:val="21"/>
              </w:rPr>
            </w:pPr>
            <w:r>
              <w:rPr>
                <w:rFonts w:hint="eastAsia"/>
                <w:color w:val="000000"/>
                <w:kern w:val="0"/>
                <w:szCs w:val="21"/>
                <w:u w:val="none" w:color="000000"/>
                <w:shd w:val="clear" w:color="auto" w:fill="auto"/>
              </w:rPr>
              <w:t>10</w:t>
            </w:r>
          </w:p>
        </w:tc>
        <w:tc>
          <w:tcPr>
            <w:tcW w:w="1476" w:type="dxa"/>
            <w:tcBorders>
              <w:tl2br w:val="nil"/>
              <w:tr2bl w:val="nil"/>
            </w:tcBorders>
            <w:noWrap w:val="0"/>
            <w:vAlign w:val="center"/>
          </w:tcPr>
          <w:p>
            <w:pPr>
              <w:widowControl/>
              <w:jc w:val="center"/>
              <w:textAlignment w:val="baseline"/>
              <w:rPr>
                <w:rFonts w:hint="eastAsia"/>
                <w:color w:val="000000"/>
                <w:szCs w:val="21"/>
              </w:rPr>
            </w:pPr>
            <w:r>
              <w:rPr>
                <w:color w:val="000000"/>
                <w:kern w:val="0"/>
                <w:szCs w:val="21"/>
                <w:u w:val="none" w:color="000000"/>
                <w:shd w:val="clear" w:color="auto" w:fill="auto"/>
              </w:rPr>
              <w:t>t/a</w:t>
            </w:r>
          </w:p>
        </w:tc>
        <w:tc>
          <w:tcPr>
            <w:tcW w:w="1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000000"/>
                <w:szCs w:val="21"/>
                <w:lang w:eastAsia="zh-CN"/>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 w:hAnsi="??" w:eastAsia="宋体" w:cs="Times New Roman"/>
                <w:kern w:val="2"/>
                <w:sz w:val="21"/>
                <w:szCs w:val="21"/>
                <w:lang w:val="en-US" w:eastAsia="zh-CN" w:bidi="ar-SA"/>
              </w:rPr>
            </w:pPr>
            <w:r>
              <w:rPr>
                <w:rFonts w:hint="eastAsia"/>
                <w:szCs w:val="21"/>
              </w:rPr>
              <w:t>4</w:t>
            </w:r>
          </w:p>
        </w:tc>
        <w:tc>
          <w:tcPr>
            <w:tcW w:w="1642" w:type="dxa"/>
            <w:tcBorders>
              <w:tl2br w:val="nil"/>
              <w:tr2bl w:val="nil"/>
            </w:tcBorders>
            <w:noWrap w:val="0"/>
            <w:vAlign w:val="center"/>
          </w:tcPr>
          <w:p>
            <w:pPr>
              <w:jc w:val="center"/>
              <w:rPr>
                <w:color w:val="000000"/>
                <w:szCs w:val="21"/>
                <w:shd w:val="clear" w:color="auto" w:fill="auto"/>
              </w:rPr>
            </w:pPr>
            <w:r>
              <w:rPr>
                <w:rFonts w:hint="default" w:ascii="Times New Roman" w:hAnsi="Times New Roman"/>
                <w:color w:val="000000"/>
                <w:sz w:val="21"/>
                <w:szCs w:val="21"/>
                <w:shd w:val="clear" w:color="auto" w:fill="auto"/>
                <w:lang w:val="en-US" w:eastAsia="zh-CN"/>
              </w:rPr>
              <w:t>树脂</w:t>
            </w:r>
          </w:p>
        </w:tc>
        <w:tc>
          <w:tcPr>
            <w:tcW w:w="1126" w:type="dxa"/>
            <w:tcBorders>
              <w:tl2br w:val="nil"/>
              <w:tr2bl w:val="nil"/>
            </w:tcBorders>
            <w:noWrap w:val="0"/>
            <w:vAlign w:val="center"/>
          </w:tcPr>
          <w:p>
            <w:pPr>
              <w:widowControl/>
              <w:jc w:val="center"/>
              <w:textAlignment w:val="baseline"/>
              <w:rPr>
                <w:rFonts w:hint="eastAsia"/>
                <w:color w:val="000000"/>
                <w:szCs w:val="21"/>
              </w:rPr>
            </w:pPr>
            <w:r>
              <w:rPr>
                <w:rFonts w:hint="eastAsia"/>
                <w:color w:val="000000"/>
                <w:kern w:val="0"/>
                <w:szCs w:val="21"/>
                <w:u w:val="none" w:color="000000"/>
                <w:shd w:val="clear" w:color="auto" w:fill="auto"/>
              </w:rPr>
              <w:t>400</w:t>
            </w:r>
          </w:p>
        </w:tc>
        <w:tc>
          <w:tcPr>
            <w:tcW w:w="1476" w:type="dxa"/>
            <w:tcBorders>
              <w:tl2br w:val="nil"/>
              <w:tr2bl w:val="nil"/>
            </w:tcBorders>
            <w:noWrap w:val="0"/>
            <w:vAlign w:val="center"/>
          </w:tcPr>
          <w:p>
            <w:pPr>
              <w:widowControl/>
              <w:jc w:val="center"/>
              <w:textAlignment w:val="baseline"/>
              <w:rPr>
                <w:rFonts w:hint="eastAsia"/>
                <w:color w:val="000000"/>
                <w:szCs w:val="21"/>
              </w:rPr>
            </w:pPr>
            <w:r>
              <w:rPr>
                <w:color w:val="000000"/>
                <w:kern w:val="0"/>
                <w:szCs w:val="21"/>
                <w:u w:val="none" w:color="000000"/>
                <w:shd w:val="clear" w:color="auto" w:fill="auto"/>
              </w:rPr>
              <w:t>t/a</w:t>
            </w:r>
          </w:p>
        </w:tc>
        <w:tc>
          <w:tcPr>
            <w:tcW w:w="1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000000"/>
                <w:szCs w:val="21"/>
                <w:lang w:eastAsia="zh-CN"/>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 w:hAnsi="??" w:eastAsia="宋体" w:cs="Times New Roman"/>
                <w:kern w:val="2"/>
                <w:sz w:val="21"/>
                <w:szCs w:val="21"/>
                <w:lang w:val="en-US" w:eastAsia="zh-CN" w:bidi="ar-SA"/>
              </w:rPr>
            </w:pPr>
            <w:r>
              <w:rPr>
                <w:rFonts w:hint="eastAsia"/>
                <w:szCs w:val="21"/>
              </w:rPr>
              <w:t>5</w:t>
            </w:r>
          </w:p>
        </w:tc>
        <w:tc>
          <w:tcPr>
            <w:tcW w:w="1642" w:type="dxa"/>
            <w:tcBorders>
              <w:tl2br w:val="nil"/>
              <w:tr2bl w:val="nil"/>
            </w:tcBorders>
            <w:noWrap w:val="0"/>
            <w:vAlign w:val="center"/>
          </w:tcPr>
          <w:p>
            <w:pPr>
              <w:jc w:val="center"/>
              <w:rPr>
                <w:color w:val="000000"/>
                <w:szCs w:val="21"/>
                <w:shd w:val="clear" w:color="auto" w:fill="auto"/>
              </w:rPr>
            </w:pPr>
            <w:r>
              <w:rPr>
                <w:color w:val="000000"/>
                <w:szCs w:val="21"/>
                <w:shd w:val="clear" w:color="auto" w:fill="auto"/>
              </w:rPr>
              <w:t>钙粉</w:t>
            </w:r>
          </w:p>
        </w:tc>
        <w:tc>
          <w:tcPr>
            <w:tcW w:w="1126" w:type="dxa"/>
            <w:tcBorders>
              <w:tl2br w:val="nil"/>
              <w:tr2bl w:val="nil"/>
            </w:tcBorders>
            <w:noWrap w:val="0"/>
            <w:vAlign w:val="center"/>
          </w:tcPr>
          <w:p>
            <w:pPr>
              <w:widowControl/>
              <w:jc w:val="center"/>
              <w:textAlignment w:val="baseline"/>
              <w:rPr>
                <w:rFonts w:hint="eastAsia"/>
                <w:color w:val="000000"/>
                <w:szCs w:val="21"/>
              </w:rPr>
            </w:pPr>
            <w:r>
              <w:rPr>
                <w:rFonts w:hint="eastAsia"/>
                <w:color w:val="000000"/>
                <w:kern w:val="0"/>
                <w:szCs w:val="21"/>
                <w:u w:val="none" w:color="000000"/>
                <w:shd w:val="clear" w:color="auto" w:fill="auto"/>
              </w:rPr>
              <w:t>700</w:t>
            </w:r>
          </w:p>
        </w:tc>
        <w:tc>
          <w:tcPr>
            <w:tcW w:w="1476" w:type="dxa"/>
            <w:tcBorders>
              <w:tl2br w:val="nil"/>
              <w:tr2bl w:val="nil"/>
            </w:tcBorders>
            <w:noWrap w:val="0"/>
            <w:vAlign w:val="center"/>
          </w:tcPr>
          <w:p>
            <w:pPr>
              <w:widowControl/>
              <w:jc w:val="center"/>
              <w:textAlignment w:val="baseline"/>
              <w:rPr>
                <w:rFonts w:hint="eastAsia"/>
                <w:color w:val="000000"/>
                <w:szCs w:val="21"/>
              </w:rPr>
            </w:pPr>
            <w:r>
              <w:rPr>
                <w:color w:val="000000"/>
                <w:kern w:val="0"/>
                <w:szCs w:val="21"/>
                <w:u w:val="none" w:color="000000"/>
                <w:shd w:val="clear" w:color="auto" w:fill="auto"/>
              </w:rPr>
              <w:t>t/a</w:t>
            </w:r>
          </w:p>
        </w:tc>
        <w:tc>
          <w:tcPr>
            <w:tcW w:w="1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000000"/>
                <w:szCs w:val="21"/>
                <w:lang w:eastAsia="zh-CN"/>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 w:hAnsi="??" w:eastAsia="宋体" w:cs="Times New Roman"/>
                <w:kern w:val="2"/>
                <w:sz w:val="21"/>
                <w:szCs w:val="21"/>
                <w:lang w:val="en-US" w:eastAsia="zh-CN" w:bidi="ar-SA"/>
              </w:rPr>
            </w:pPr>
            <w:r>
              <w:rPr>
                <w:rFonts w:hint="eastAsia" w:cs="Times New Roman"/>
                <w:kern w:val="2"/>
                <w:sz w:val="21"/>
                <w:szCs w:val="21"/>
                <w:lang w:val="en-US" w:eastAsia="zh-CN" w:bidi="ar-SA"/>
              </w:rPr>
              <w:t>6</w:t>
            </w:r>
          </w:p>
        </w:tc>
        <w:tc>
          <w:tcPr>
            <w:tcW w:w="1642" w:type="dxa"/>
            <w:tcBorders>
              <w:tl2br w:val="nil"/>
              <w:tr2bl w:val="nil"/>
            </w:tcBorders>
            <w:noWrap w:val="0"/>
            <w:vAlign w:val="center"/>
          </w:tcPr>
          <w:p>
            <w:pPr>
              <w:jc w:val="center"/>
              <w:rPr>
                <w:color w:val="000000"/>
                <w:szCs w:val="21"/>
                <w:shd w:val="clear" w:color="auto" w:fill="auto"/>
              </w:rPr>
            </w:pPr>
            <w:r>
              <w:rPr>
                <w:color w:val="000000"/>
                <w:szCs w:val="21"/>
                <w:shd w:val="clear" w:color="auto" w:fill="auto"/>
              </w:rPr>
              <w:t>面毯</w:t>
            </w:r>
          </w:p>
        </w:tc>
        <w:tc>
          <w:tcPr>
            <w:tcW w:w="1126" w:type="dxa"/>
            <w:tcBorders>
              <w:tl2br w:val="nil"/>
              <w:tr2bl w:val="nil"/>
            </w:tcBorders>
            <w:noWrap w:val="0"/>
            <w:vAlign w:val="center"/>
          </w:tcPr>
          <w:p>
            <w:pPr>
              <w:widowControl/>
              <w:jc w:val="center"/>
              <w:textAlignment w:val="baseline"/>
              <w:rPr>
                <w:rFonts w:hint="eastAsia"/>
                <w:color w:val="000000"/>
                <w:szCs w:val="21"/>
              </w:rPr>
            </w:pPr>
            <w:r>
              <w:rPr>
                <w:rFonts w:hint="eastAsia"/>
                <w:color w:val="000000"/>
                <w:kern w:val="0"/>
                <w:szCs w:val="21"/>
                <w:u w:val="none" w:color="000000"/>
                <w:shd w:val="clear" w:color="auto" w:fill="auto"/>
              </w:rPr>
              <w:t>300</w:t>
            </w:r>
          </w:p>
        </w:tc>
        <w:tc>
          <w:tcPr>
            <w:tcW w:w="1476" w:type="dxa"/>
            <w:tcBorders>
              <w:tl2br w:val="nil"/>
              <w:tr2bl w:val="nil"/>
            </w:tcBorders>
            <w:noWrap w:val="0"/>
            <w:vAlign w:val="center"/>
          </w:tcPr>
          <w:p>
            <w:pPr>
              <w:widowControl/>
              <w:jc w:val="center"/>
              <w:textAlignment w:val="baseline"/>
              <w:rPr>
                <w:rFonts w:hint="eastAsia"/>
                <w:color w:val="000000"/>
                <w:szCs w:val="21"/>
              </w:rPr>
            </w:pPr>
            <w:r>
              <w:rPr>
                <w:rFonts w:hint="eastAsia"/>
                <w:color w:val="000000"/>
                <w:kern w:val="0"/>
                <w:szCs w:val="21"/>
                <w:u w:val="none" w:color="000000"/>
                <w:shd w:val="clear" w:color="auto" w:fill="auto"/>
                <w:lang w:val="en-US" w:eastAsia="zh-CN"/>
              </w:rPr>
              <w:t>m</w:t>
            </w:r>
            <w:r>
              <w:rPr>
                <w:rFonts w:hint="eastAsia"/>
                <w:color w:val="000000"/>
                <w:kern w:val="0"/>
                <w:szCs w:val="21"/>
                <w:u w:val="none" w:color="000000"/>
                <w:shd w:val="clear" w:color="auto" w:fill="auto"/>
                <w:vertAlign w:val="superscript"/>
                <w:lang w:val="en-US" w:eastAsia="zh-CN"/>
              </w:rPr>
              <w:t>2</w:t>
            </w:r>
            <w:r>
              <w:rPr>
                <w:color w:val="000000"/>
                <w:kern w:val="0"/>
                <w:szCs w:val="21"/>
                <w:u w:val="none" w:color="000000"/>
                <w:shd w:val="clear" w:color="auto" w:fill="auto"/>
              </w:rPr>
              <w:t>/a</w:t>
            </w:r>
          </w:p>
        </w:tc>
        <w:tc>
          <w:tcPr>
            <w:tcW w:w="1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000000"/>
                <w:szCs w:val="21"/>
                <w:lang w:eastAsia="zh-CN"/>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 w:hAnsi="??" w:eastAsia="宋体" w:cs="Times New Roman"/>
                <w:kern w:val="2"/>
                <w:sz w:val="21"/>
                <w:szCs w:val="21"/>
                <w:lang w:val="en-US" w:eastAsia="zh-CN" w:bidi="ar-SA"/>
              </w:rPr>
            </w:pPr>
            <w:r>
              <w:rPr>
                <w:rFonts w:hint="eastAsia" w:cs="Times New Roman"/>
                <w:kern w:val="2"/>
                <w:sz w:val="21"/>
                <w:szCs w:val="21"/>
                <w:lang w:val="en-US" w:eastAsia="zh-CN" w:bidi="ar-SA"/>
              </w:rPr>
              <w:t>7</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color w:val="000000"/>
                <w:szCs w:val="21"/>
                <w:lang w:eastAsia="zh-CN"/>
              </w:rPr>
            </w:pPr>
            <w:r>
              <w:rPr>
                <w:rFonts w:hint="eastAsia"/>
                <w:color w:val="000000"/>
                <w:szCs w:val="21"/>
                <w:lang w:eastAsia="zh-CN"/>
              </w:rPr>
              <w:t>水</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000000"/>
                <w:szCs w:val="21"/>
                <w:lang w:val="en-US" w:eastAsia="zh-CN"/>
              </w:rPr>
            </w:pPr>
            <w:r>
              <w:rPr>
                <w:rFonts w:hint="eastAsia"/>
                <w:color w:val="000000"/>
                <w:szCs w:val="21"/>
                <w:lang w:val="en-US" w:eastAsia="zh-CN"/>
              </w:rPr>
              <w:t>408</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Cs w:val="21"/>
              </w:rPr>
            </w:pPr>
            <w:r>
              <w:rPr>
                <w:color w:val="000000"/>
                <w:szCs w:val="21"/>
              </w:rPr>
              <w:t>m</w:t>
            </w:r>
            <w:r>
              <w:rPr>
                <w:color w:val="000000"/>
                <w:szCs w:val="21"/>
                <w:vertAlign w:val="superscript"/>
              </w:rPr>
              <w:t>3</w:t>
            </w:r>
            <w:r>
              <w:rPr>
                <w:color w:val="000000"/>
                <w:szCs w:val="21"/>
              </w:rPr>
              <w:t>/a</w:t>
            </w:r>
          </w:p>
        </w:tc>
        <w:tc>
          <w:tcPr>
            <w:tcW w:w="1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Cs w:val="21"/>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Cs w:val="21"/>
                <w:lang w:val="en-US" w:eastAsia="zh-CN"/>
              </w:rPr>
            </w:pPr>
            <w:r>
              <w:rPr>
                <w:rFonts w:hint="eastAsia"/>
                <w:szCs w:val="21"/>
                <w:lang w:val="en-US" w:eastAsia="zh-CN"/>
              </w:rPr>
              <w:t>8</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szCs w:val="21"/>
              </w:rPr>
              <w:t>电</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color w:val="000000"/>
                <w:kern w:val="0"/>
                <w:szCs w:val="21"/>
                <w:u w:val="none" w:color="000000"/>
                <w:shd w:val="clear" w:color="auto" w:fill="auto"/>
              </w:rPr>
              <w:t>30</w:t>
            </w:r>
            <w:r>
              <w:rPr>
                <w:szCs w:val="21"/>
              </w:rPr>
              <w:t>×10</w:t>
            </w:r>
            <w:r>
              <w:rPr>
                <w:szCs w:val="21"/>
                <w:vertAlign w:val="superscript"/>
              </w:rPr>
              <w:t>4</w:t>
            </w:r>
          </w:p>
        </w:tc>
        <w:tc>
          <w:tcPr>
            <w:tcW w:w="1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szCs w:val="21"/>
              </w:rPr>
              <w:t>kW·h/a</w:t>
            </w:r>
          </w:p>
        </w:tc>
        <w:tc>
          <w:tcPr>
            <w:tcW w:w="1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color w:val="000000"/>
                <w:szCs w:val="21"/>
                <w:lang w:eastAsia="zh-CN"/>
              </w:rPr>
              <w:t>与环评一致</w:t>
            </w:r>
          </w:p>
        </w:tc>
      </w:tr>
    </w:tbl>
    <w:p>
      <w:pPr>
        <w:pStyle w:val="7"/>
        <w:rPr>
          <w:rFonts w:hint="default" w:ascii="Times New Roman" w:hAnsi="Times New Roman" w:eastAsia="宋体" w:cs="Times New Roman"/>
        </w:rPr>
      </w:pPr>
      <w:bookmarkStart w:id="70" w:name="_Toc8242"/>
      <w:r>
        <w:rPr>
          <w:rFonts w:hint="default" w:ascii="Times New Roman" w:hAnsi="Times New Roman" w:eastAsia="宋体" w:cs="Times New Roman"/>
          <w:color w:val="auto"/>
        </w:rPr>
        <w:t>2.2.3 主体设施建设内容</w:t>
      </w:r>
      <w:bookmarkEnd w:id="65"/>
      <w:bookmarkEnd w:id="66"/>
      <w:bookmarkEnd w:id="67"/>
      <w:bookmarkEnd w:id="68"/>
      <w:bookmarkEnd w:id="69"/>
      <w:bookmarkEnd w:id="70"/>
    </w:p>
    <w:p>
      <w:pPr>
        <w:spacing w:line="480" w:lineRule="exact"/>
        <w:ind w:firstLine="480" w:firstLineChars="200"/>
        <w:rPr>
          <w:rFonts w:hint="eastAsia" w:ascii="Times New Roman" w:hAnsi="Times New Roman" w:cs="Times New Roman"/>
          <w:sz w:val="24"/>
          <w:szCs w:val="24"/>
          <w:lang w:eastAsia="zh-CN"/>
        </w:rPr>
      </w:pPr>
      <w:r>
        <w:rPr>
          <w:color w:val="000000"/>
          <w:sz w:val="24"/>
        </w:rPr>
        <w:t>项目占地面积</w:t>
      </w:r>
      <w:r>
        <w:rPr>
          <w:rFonts w:hint="eastAsia"/>
          <w:color w:val="000000"/>
          <w:sz w:val="24"/>
          <w:lang w:val="en-US" w:eastAsia="zh-CN"/>
        </w:rPr>
        <w:t>70</w:t>
      </w:r>
      <w:r>
        <w:rPr>
          <w:rFonts w:hint="eastAsia"/>
          <w:color w:val="000000"/>
          <w:sz w:val="24"/>
        </w:rPr>
        <w:t>00</w:t>
      </w:r>
      <w:r>
        <w:rPr>
          <w:color w:val="000000"/>
          <w:sz w:val="24"/>
        </w:rPr>
        <w:t>m</w:t>
      </w:r>
      <w:r>
        <w:rPr>
          <w:color w:val="000000"/>
          <w:sz w:val="24"/>
          <w:vertAlign w:val="superscript"/>
        </w:rPr>
        <w:t>2</w:t>
      </w:r>
      <w:r>
        <w:rPr>
          <w:color w:val="000000"/>
          <w:sz w:val="24"/>
        </w:rPr>
        <w:t>，租用旧厂房</w:t>
      </w:r>
      <w:r>
        <w:rPr>
          <w:rFonts w:hint="eastAsia"/>
          <w:color w:val="000000"/>
          <w:sz w:val="24"/>
          <w:lang w:val="en-US" w:eastAsia="zh-CN"/>
        </w:rPr>
        <w:t>700</w:t>
      </w:r>
      <w:r>
        <w:rPr>
          <w:color w:val="000000"/>
          <w:sz w:val="24"/>
        </w:rPr>
        <w:t>0m</w:t>
      </w:r>
      <w:r>
        <w:rPr>
          <w:color w:val="000000"/>
          <w:sz w:val="24"/>
          <w:vertAlign w:val="superscript"/>
        </w:rPr>
        <w:t>2</w:t>
      </w:r>
      <w:r>
        <w:rPr>
          <w:color w:val="000000"/>
          <w:sz w:val="24"/>
        </w:rPr>
        <w:t>，无新增建筑面积，其中车间</w:t>
      </w:r>
      <w:r>
        <w:rPr>
          <w:rFonts w:hint="eastAsia"/>
          <w:color w:val="000000"/>
          <w:sz w:val="24"/>
          <w:lang w:val="en-US" w:eastAsia="zh-CN"/>
        </w:rPr>
        <w:t>33</w:t>
      </w:r>
      <w:r>
        <w:rPr>
          <w:color w:val="000000"/>
          <w:sz w:val="24"/>
        </w:rPr>
        <w:t>00m</w:t>
      </w:r>
      <w:r>
        <w:rPr>
          <w:color w:val="000000"/>
          <w:sz w:val="24"/>
          <w:vertAlign w:val="superscript"/>
        </w:rPr>
        <w:t>2</w:t>
      </w:r>
      <w:r>
        <w:rPr>
          <w:color w:val="000000"/>
          <w:sz w:val="24"/>
        </w:rPr>
        <w:t>、库房</w:t>
      </w:r>
      <w:r>
        <w:rPr>
          <w:rFonts w:hint="eastAsia"/>
          <w:color w:val="000000"/>
          <w:sz w:val="24"/>
          <w:lang w:val="en-US" w:eastAsia="zh-CN"/>
        </w:rPr>
        <w:t>35</w:t>
      </w:r>
      <w:r>
        <w:rPr>
          <w:color w:val="000000"/>
          <w:sz w:val="24"/>
        </w:rPr>
        <w:t>00m</w:t>
      </w:r>
      <w:r>
        <w:rPr>
          <w:color w:val="000000"/>
          <w:sz w:val="24"/>
          <w:vertAlign w:val="superscript"/>
        </w:rPr>
        <w:t>2</w:t>
      </w:r>
      <w:r>
        <w:rPr>
          <w:color w:val="000000"/>
          <w:sz w:val="24"/>
        </w:rPr>
        <w:t>、办公室宿舍</w:t>
      </w:r>
      <w:r>
        <w:rPr>
          <w:rFonts w:hint="eastAsia"/>
          <w:color w:val="000000"/>
          <w:sz w:val="24"/>
          <w:lang w:val="en-US" w:eastAsia="zh-CN"/>
        </w:rPr>
        <w:t>2</w:t>
      </w:r>
      <w:r>
        <w:rPr>
          <w:color w:val="000000"/>
          <w:sz w:val="24"/>
        </w:rPr>
        <w:t>00m</w:t>
      </w:r>
      <w:r>
        <w:rPr>
          <w:color w:val="000000"/>
          <w:sz w:val="24"/>
          <w:vertAlign w:val="superscript"/>
        </w:rPr>
        <w:t>2</w:t>
      </w:r>
      <w:r>
        <w:rPr>
          <w:color w:val="000000"/>
          <w:sz w:val="24"/>
        </w:rPr>
        <w:t>。</w:t>
      </w:r>
      <w:r>
        <w:rPr>
          <w:rFonts w:hint="eastAsia"/>
          <w:color w:val="000000"/>
          <w:sz w:val="24"/>
        </w:rPr>
        <w:t>购置涂刮地毯复底生产线（设备型号：FH-220PVC复底线）等主要及辅助生产设备二套</w:t>
      </w:r>
      <w:r>
        <w:rPr>
          <w:color w:val="000000"/>
          <w:sz w:val="24"/>
        </w:rPr>
        <w:t>。</w:t>
      </w:r>
      <w:r>
        <w:rPr>
          <w:rFonts w:hint="default" w:ascii="Times New Roman" w:hAnsi="Times New Roman" w:cs="Times New Roman"/>
          <w:sz w:val="24"/>
          <w:szCs w:val="24"/>
        </w:rPr>
        <w:t>具体建设内容见</w:t>
      </w:r>
      <w:r>
        <w:rPr>
          <w:rFonts w:hint="default" w:ascii="Times New Roman" w:hAnsi="Times New Roman" w:eastAsia="宋体" w:cs="Times New Roman"/>
          <w:sz w:val="24"/>
          <w:szCs w:val="24"/>
          <w:lang w:eastAsia="zh-CN"/>
        </w:rPr>
        <w:t>表2-3</w:t>
      </w:r>
      <w:r>
        <w:rPr>
          <w:rFonts w:hint="eastAsia" w:ascii="Times New Roman" w:hAnsi="Times New Roman"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before="84" w:after="0" w:line="240" w:lineRule="auto"/>
        <w:ind w:right="96"/>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2-3  工程内容一览表</w:t>
      </w:r>
    </w:p>
    <w:tbl>
      <w:tblPr>
        <w:tblStyle w:val="2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655"/>
        <w:gridCol w:w="5260"/>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1148" w:type="dxa"/>
            <w:tcBorders>
              <w:tl2br w:val="nil"/>
              <w:tr2bl w:val="nil"/>
            </w:tcBorders>
            <w:noWrap w:val="0"/>
            <w:vAlign w:val="center"/>
          </w:tcPr>
          <w:p>
            <w:pPr>
              <w:spacing w:line="360" w:lineRule="atLeast"/>
              <w:jc w:val="center"/>
              <w:rPr>
                <w:color w:val="000000"/>
                <w:szCs w:val="21"/>
              </w:rPr>
            </w:pPr>
            <w:bookmarkStart w:id="71" w:name="_Toc17854"/>
            <w:bookmarkStart w:id="72" w:name="_Toc1691"/>
            <w:bookmarkStart w:id="73" w:name="_Toc496979007"/>
            <w:bookmarkStart w:id="74" w:name="_Toc497001443"/>
            <w:bookmarkStart w:id="75" w:name="_Toc30584"/>
            <w:r>
              <w:rPr>
                <w:color w:val="000000"/>
                <w:szCs w:val="21"/>
              </w:rPr>
              <w:t>名称</w:t>
            </w:r>
          </w:p>
        </w:tc>
        <w:tc>
          <w:tcPr>
            <w:tcW w:w="5772" w:type="dxa"/>
            <w:gridSpan w:val="2"/>
            <w:tcBorders>
              <w:tl2br w:val="nil"/>
              <w:tr2bl w:val="nil"/>
            </w:tcBorders>
            <w:noWrap w:val="0"/>
            <w:vAlign w:val="center"/>
          </w:tcPr>
          <w:p>
            <w:pPr>
              <w:spacing w:line="360" w:lineRule="atLeast"/>
              <w:jc w:val="center"/>
              <w:rPr>
                <w:color w:val="000000"/>
                <w:szCs w:val="21"/>
              </w:rPr>
            </w:pPr>
            <w:r>
              <w:rPr>
                <w:color w:val="000000"/>
                <w:szCs w:val="21"/>
              </w:rPr>
              <w:t>工程内容</w:t>
            </w:r>
          </w:p>
        </w:tc>
        <w:tc>
          <w:tcPr>
            <w:tcW w:w="1379" w:type="dxa"/>
            <w:tcBorders>
              <w:tl2br w:val="nil"/>
              <w:tr2bl w:val="nil"/>
            </w:tcBorders>
            <w:noWrap w:val="0"/>
            <w:vAlign w:val="center"/>
          </w:tcPr>
          <w:p>
            <w:pPr>
              <w:spacing w:line="360" w:lineRule="atLeast"/>
              <w:jc w:val="center"/>
              <w:rPr>
                <w:rFonts w:hint="eastAsia" w:eastAsia="宋体"/>
                <w:color w:val="000000"/>
                <w:szCs w:val="21"/>
                <w:lang w:eastAsia="zh-CN"/>
              </w:rPr>
            </w:pPr>
            <w:r>
              <w:rPr>
                <w:rFonts w:hint="eastAsia"/>
                <w:color w:val="00000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148" w:type="dxa"/>
            <w:tcBorders>
              <w:tl2br w:val="nil"/>
              <w:tr2bl w:val="nil"/>
            </w:tcBorders>
            <w:noWrap w:val="0"/>
            <w:vAlign w:val="center"/>
          </w:tcPr>
          <w:p>
            <w:pPr>
              <w:spacing w:line="360" w:lineRule="atLeast"/>
              <w:jc w:val="center"/>
              <w:rPr>
                <w:color w:val="000000"/>
                <w:szCs w:val="21"/>
              </w:rPr>
            </w:pPr>
            <w:r>
              <w:rPr>
                <w:color w:val="000000"/>
                <w:szCs w:val="21"/>
              </w:rPr>
              <w:t>主体工程</w:t>
            </w:r>
          </w:p>
        </w:tc>
        <w:tc>
          <w:tcPr>
            <w:tcW w:w="5772" w:type="dxa"/>
            <w:gridSpan w:val="2"/>
            <w:tcBorders>
              <w:tl2br w:val="nil"/>
              <w:tr2bl w:val="nil"/>
            </w:tcBorders>
            <w:noWrap w:val="0"/>
            <w:vAlign w:val="center"/>
          </w:tcPr>
          <w:p>
            <w:pPr>
              <w:tabs>
                <w:tab w:val="center" w:pos="3425"/>
              </w:tabs>
              <w:spacing w:line="360" w:lineRule="atLeast"/>
              <w:jc w:val="center"/>
              <w:rPr>
                <w:color w:val="000000"/>
                <w:szCs w:val="21"/>
              </w:rPr>
            </w:pPr>
            <w:r>
              <w:rPr>
                <w:color w:val="000000"/>
                <w:szCs w:val="21"/>
              </w:rPr>
              <w:t>生产车间1座，建筑面积3</w:t>
            </w:r>
            <w:r>
              <w:rPr>
                <w:rFonts w:hint="eastAsia"/>
                <w:color w:val="000000"/>
                <w:szCs w:val="21"/>
                <w:lang w:val="en-US" w:eastAsia="zh-CN"/>
              </w:rPr>
              <w:t>3</w:t>
            </w:r>
            <w:r>
              <w:rPr>
                <w:color w:val="000000"/>
                <w:szCs w:val="21"/>
              </w:rPr>
              <w:t>00m</w:t>
            </w:r>
            <w:r>
              <w:rPr>
                <w:color w:val="000000"/>
                <w:szCs w:val="21"/>
                <w:vertAlign w:val="superscript"/>
              </w:rPr>
              <w:t>2</w:t>
            </w:r>
            <w:r>
              <w:rPr>
                <w:color w:val="000000"/>
                <w:szCs w:val="21"/>
              </w:rPr>
              <w:t>，</w:t>
            </w:r>
          </w:p>
          <w:p>
            <w:pPr>
              <w:tabs>
                <w:tab w:val="center" w:pos="3425"/>
              </w:tabs>
              <w:spacing w:line="360" w:lineRule="atLeast"/>
              <w:jc w:val="center"/>
              <w:rPr>
                <w:rFonts w:hint="eastAsia"/>
                <w:color w:val="000000"/>
                <w:spacing w:val="-4"/>
                <w:szCs w:val="21"/>
              </w:rPr>
            </w:pPr>
            <w:r>
              <w:rPr>
                <w:color w:val="000000"/>
                <w:szCs w:val="21"/>
              </w:rPr>
              <w:t>建设</w:t>
            </w:r>
            <w:r>
              <w:rPr>
                <w:rFonts w:hint="eastAsia"/>
                <w:color w:val="000000"/>
                <w:szCs w:val="21"/>
              </w:rPr>
              <w:t>年产300万平方米地毯</w:t>
            </w:r>
            <w:r>
              <w:rPr>
                <w:color w:val="000000"/>
                <w:szCs w:val="21"/>
              </w:rPr>
              <w:t>生产线</w:t>
            </w:r>
            <w:r>
              <w:rPr>
                <w:rFonts w:hint="eastAsia"/>
                <w:color w:val="000000"/>
                <w:szCs w:val="21"/>
                <w:lang w:eastAsia="zh-CN"/>
              </w:rPr>
              <w:t>两</w:t>
            </w:r>
            <w:r>
              <w:rPr>
                <w:rFonts w:hint="eastAsia"/>
              </w:rPr>
              <w:t>条</w:t>
            </w:r>
          </w:p>
        </w:tc>
        <w:tc>
          <w:tcPr>
            <w:tcW w:w="1379" w:type="dxa"/>
            <w:tcBorders>
              <w:tl2br w:val="nil"/>
              <w:tr2bl w:val="nil"/>
            </w:tcBorders>
            <w:noWrap w:val="0"/>
            <w:vAlign w:val="center"/>
          </w:tcPr>
          <w:p>
            <w:pPr>
              <w:tabs>
                <w:tab w:val="center" w:pos="3425"/>
              </w:tabs>
              <w:spacing w:line="360" w:lineRule="atLeast"/>
              <w:jc w:val="center"/>
              <w:rPr>
                <w:rFonts w:hint="eastAsia" w:eastAsia="宋体"/>
                <w:color w:val="000000"/>
                <w:szCs w:val="21"/>
                <w:lang w:eastAsia="zh-CN"/>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48" w:type="dxa"/>
            <w:tcBorders>
              <w:tl2br w:val="nil"/>
              <w:tr2bl w:val="nil"/>
            </w:tcBorders>
            <w:noWrap w:val="0"/>
            <w:vAlign w:val="center"/>
          </w:tcPr>
          <w:p>
            <w:pPr>
              <w:spacing w:line="360" w:lineRule="atLeast"/>
              <w:jc w:val="center"/>
              <w:rPr>
                <w:color w:val="000000"/>
                <w:szCs w:val="21"/>
              </w:rPr>
            </w:pPr>
            <w:r>
              <w:rPr>
                <w:color w:val="000000"/>
                <w:szCs w:val="21"/>
              </w:rPr>
              <w:t>辅助工程</w:t>
            </w:r>
          </w:p>
        </w:tc>
        <w:tc>
          <w:tcPr>
            <w:tcW w:w="5772" w:type="dxa"/>
            <w:gridSpan w:val="2"/>
            <w:tcBorders>
              <w:tl2br w:val="nil"/>
              <w:tr2bl w:val="nil"/>
            </w:tcBorders>
            <w:noWrap w:val="0"/>
            <w:vAlign w:val="center"/>
          </w:tcPr>
          <w:p>
            <w:pPr>
              <w:tabs>
                <w:tab w:val="center" w:pos="3425"/>
              </w:tabs>
              <w:spacing w:line="360" w:lineRule="atLeast"/>
              <w:jc w:val="center"/>
              <w:rPr>
                <w:color w:val="000000"/>
                <w:szCs w:val="21"/>
              </w:rPr>
            </w:pPr>
            <w:r>
              <w:rPr>
                <w:color w:val="000000"/>
                <w:szCs w:val="21"/>
              </w:rPr>
              <w:t>办公</w:t>
            </w:r>
            <w:r>
              <w:rPr>
                <w:rFonts w:hint="eastAsia"/>
                <w:color w:val="000000"/>
                <w:szCs w:val="21"/>
              </w:rPr>
              <w:t>室</w:t>
            </w:r>
            <w:r>
              <w:rPr>
                <w:color w:val="000000"/>
                <w:szCs w:val="21"/>
              </w:rPr>
              <w:t>建筑面积</w:t>
            </w:r>
            <w:r>
              <w:rPr>
                <w:rFonts w:hint="eastAsia"/>
                <w:color w:val="000000"/>
                <w:szCs w:val="21"/>
                <w:lang w:val="en-US" w:eastAsia="zh-CN"/>
              </w:rPr>
              <w:t>200</w:t>
            </w:r>
            <w:r>
              <w:rPr>
                <w:color w:val="000000"/>
                <w:szCs w:val="21"/>
              </w:rPr>
              <w:t>m</w:t>
            </w:r>
            <w:r>
              <w:rPr>
                <w:color w:val="000000"/>
                <w:szCs w:val="21"/>
                <w:vertAlign w:val="superscript"/>
              </w:rPr>
              <w:t>2</w:t>
            </w:r>
            <w:r>
              <w:rPr>
                <w:rFonts w:hint="eastAsia"/>
                <w:color w:val="000000"/>
                <w:szCs w:val="21"/>
              </w:rPr>
              <w:t>、</w:t>
            </w:r>
            <w:r>
              <w:rPr>
                <w:rFonts w:hint="eastAsia"/>
                <w:color w:val="000000"/>
                <w:szCs w:val="21"/>
                <w:lang w:eastAsia="zh-CN"/>
              </w:rPr>
              <w:t>危废间</w:t>
            </w:r>
            <w:r>
              <w:rPr>
                <w:color w:val="000000"/>
                <w:szCs w:val="21"/>
              </w:rPr>
              <w:t>建筑面积</w:t>
            </w:r>
            <w:r>
              <w:rPr>
                <w:rFonts w:hint="eastAsia"/>
                <w:color w:val="000000"/>
                <w:szCs w:val="21"/>
                <w:lang w:val="en-US" w:eastAsia="zh-CN"/>
              </w:rPr>
              <w:t>5</w:t>
            </w:r>
            <w:r>
              <w:rPr>
                <w:color w:val="000000"/>
                <w:szCs w:val="21"/>
              </w:rPr>
              <w:t>m</w:t>
            </w:r>
            <w:r>
              <w:rPr>
                <w:color w:val="000000"/>
                <w:szCs w:val="21"/>
                <w:vertAlign w:val="superscript"/>
              </w:rPr>
              <w:t>2</w:t>
            </w:r>
          </w:p>
        </w:tc>
        <w:tc>
          <w:tcPr>
            <w:tcW w:w="1379" w:type="dxa"/>
            <w:tcBorders>
              <w:tl2br w:val="nil"/>
              <w:tr2bl w:val="nil"/>
            </w:tcBorders>
            <w:noWrap w:val="0"/>
            <w:vAlign w:val="center"/>
          </w:tcPr>
          <w:p>
            <w:pPr>
              <w:tabs>
                <w:tab w:val="center" w:pos="3425"/>
              </w:tabs>
              <w:spacing w:line="360" w:lineRule="atLeast"/>
              <w:jc w:val="center"/>
              <w:rPr>
                <w:color w:val="000000"/>
                <w:szCs w:val="21"/>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48" w:type="dxa"/>
            <w:tcBorders>
              <w:tl2br w:val="nil"/>
              <w:tr2bl w:val="nil"/>
            </w:tcBorders>
            <w:noWrap w:val="0"/>
            <w:vAlign w:val="center"/>
          </w:tcPr>
          <w:p>
            <w:pPr>
              <w:spacing w:line="360" w:lineRule="atLeast"/>
              <w:jc w:val="center"/>
              <w:rPr>
                <w:color w:val="000000"/>
                <w:szCs w:val="21"/>
              </w:rPr>
            </w:pPr>
            <w:r>
              <w:rPr>
                <w:color w:val="000000"/>
                <w:szCs w:val="21"/>
              </w:rPr>
              <w:t>储运工程</w:t>
            </w:r>
          </w:p>
        </w:tc>
        <w:tc>
          <w:tcPr>
            <w:tcW w:w="5772" w:type="dxa"/>
            <w:gridSpan w:val="2"/>
            <w:tcBorders>
              <w:tl2br w:val="nil"/>
              <w:tr2bl w:val="nil"/>
            </w:tcBorders>
            <w:noWrap w:val="0"/>
            <w:vAlign w:val="center"/>
          </w:tcPr>
          <w:p>
            <w:pPr>
              <w:tabs>
                <w:tab w:val="center" w:pos="3425"/>
              </w:tabs>
              <w:spacing w:line="360" w:lineRule="atLeast"/>
              <w:jc w:val="center"/>
              <w:rPr>
                <w:color w:val="000000"/>
                <w:szCs w:val="21"/>
              </w:rPr>
            </w:pPr>
            <w:r>
              <w:rPr>
                <w:color w:val="000000"/>
                <w:szCs w:val="21"/>
              </w:rPr>
              <w:t>库房，建筑面积</w:t>
            </w:r>
            <w:r>
              <w:rPr>
                <w:rFonts w:hint="eastAsia"/>
                <w:color w:val="000000"/>
                <w:szCs w:val="21"/>
                <w:lang w:val="en-US" w:eastAsia="zh-CN"/>
              </w:rPr>
              <w:t>3500</w:t>
            </w:r>
            <w:r>
              <w:rPr>
                <w:color w:val="000000"/>
                <w:szCs w:val="21"/>
              </w:rPr>
              <w:t>m</w:t>
            </w:r>
            <w:r>
              <w:rPr>
                <w:color w:val="000000"/>
                <w:szCs w:val="21"/>
                <w:vertAlign w:val="superscript"/>
              </w:rPr>
              <w:t>2</w:t>
            </w:r>
          </w:p>
        </w:tc>
        <w:tc>
          <w:tcPr>
            <w:tcW w:w="1379" w:type="dxa"/>
            <w:tcBorders>
              <w:tl2br w:val="nil"/>
              <w:tr2bl w:val="nil"/>
            </w:tcBorders>
            <w:noWrap w:val="0"/>
            <w:vAlign w:val="center"/>
          </w:tcPr>
          <w:p>
            <w:pPr>
              <w:tabs>
                <w:tab w:val="center" w:pos="3425"/>
              </w:tabs>
              <w:spacing w:line="360" w:lineRule="atLeast"/>
              <w:jc w:val="center"/>
              <w:rPr>
                <w:color w:val="000000"/>
                <w:szCs w:val="21"/>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148" w:type="dxa"/>
            <w:tcBorders>
              <w:tl2br w:val="nil"/>
              <w:tr2bl w:val="nil"/>
            </w:tcBorders>
            <w:noWrap w:val="0"/>
            <w:vAlign w:val="center"/>
          </w:tcPr>
          <w:p>
            <w:pPr>
              <w:spacing w:line="360" w:lineRule="atLeast"/>
              <w:jc w:val="center"/>
              <w:rPr>
                <w:color w:val="000000"/>
                <w:szCs w:val="21"/>
              </w:rPr>
            </w:pPr>
            <w:r>
              <w:rPr>
                <w:color w:val="000000"/>
                <w:szCs w:val="21"/>
              </w:rPr>
              <w:t>公用工程</w:t>
            </w:r>
          </w:p>
        </w:tc>
        <w:tc>
          <w:tcPr>
            <w:tcW w:w="5772" w:type="dxa"/>
            <w:gridSpan w:val="2"/>
            <w:tcBorders>
              <w:tl2br w:val="nil"/>
              <w:tr2bl w:val="nil"/>
            </w:tcBorders>
            <w:noWrap w:val="0"/>
            <w:vAlign w:val="center"/>
          </w:tcPr>
          <w:p>
            <w:pPr>
              <w:spacing w:line="360" w:lineRule="atLeast"/>
            </w:pPr>
            <w:r>
              <w:t>供水：由当地供水管网提供</w:t>
            </w:r>
          </w:p>
          <w:p>
            <w:pPr>
              <w:spacing w:line="360" w:lineRule="atLeast"/>
            </w:pPr>
            <w:r>
              <w:t>供电：由当地变电所供给</w:t>
            </w:r>
          </w:p>
          <w:p>
            <w:pPr>
              <w:spacing w:line="360" w:lineRule="atLeast"/>
            </w:pPr>
            <w:r>
              <w:t>供热：生产用热由电提供，办公室取暖由空调提供</w:t>
            </w:r>
          </w:p>
          <w:p>
            <w:pPr>
              <w:pStyle w:val="2"/>
              <w:ind w:left="0" w:leftChars="0" w:firstLine="0" w:firstLineChars="0"/>
              <w:rPr>
                <w:rFonts w:hint="eastAsia" w:eastAsia="宋体"/>
                <w:lang w:eastAsia="zh-CN"/>
              </w:rPr>
            </w:pPr>
            <w:r>
              <w:rPr>
                <w:rFonts w:hint="eastAsia"/>
                <w:color w:val="000000"/>
                <w:szCs w:val="21"/>
                <w:shd w:val="clear" w:color="auto" w:fill="auto"/>
                <w:lang w:eastAsia="zh-CN"/>
              </w:rPr>
              <w:t>排水：</w:t>
            </w:r>
            <w:r>
              <w:rPr>
                <w:color w:val="000000"/>
                <w:szCs w:val="21"/>
                <w:shd w:val="clear" w:color="auto" w:fill="auto"/>
              </w:rPr>
              <w:t>项目冷却塔用水循环使用不外排；生活污水排入化粪池，定时清掏</w:t>
            </w:r>
          </w:p>
        </w:tc>
        <w:tc>
          <w:tcPr>
            <w:tcW w:w="1379" w:type="dxa"/>
            <w:tcBorders>
              <w:tl2br w:val="nil"/>
              <w:tr2bl w:val="nil"/>
            </w:tcBorders>
            <w:noWrap w:val="0"/>
            <w:vAlign w:val="center"/>
          </w:tcPr>
          <w:p>
            <w:pPr>
              <w:spacing w:line="360" w:lineRule="atLeast"/>
              <w:rPr>
                <w:color w:val="000000"/>
                <w:szCs w:val="21"/>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148" w:type="dxa"/>
            <w:vMerge w:val="restart"/>
            <w:tcBorders>
              <w:tl2br w:val="nil"/>
              <w:tr2bl w:val="nil"/>
            </w:tcBorders>
            <w:noWrap w:val="0"/>
            <w:vAlign w:val="center"/>
          </w:tcPr>
          <w:p>
            <w:pPr>
              <w:spacing w:line="360" w:lineRule="atLeast"/>
              <w:jc w:val="center"/>
              <w:rPr>
                <w:color w:val="000000"/>
                <w:szCs w:val="21"/>
              </w:rPr>
            </w:pPr>
            <w:r>
              <w:rPr>
                <w:color w:val="000000"/>
                <w:szCs w:val="21"/>
              </w:rPr>
              <w:t>环保工程</w:t>
            </w:r>
          </w:p>
        </w:tc>
        <w:tc>
          <w:tcPr>
            <w:tcW w:w="639" w:type="dxa"/>
            <w:tcBorders>
              <w:tl2br w:val="nil"/>
              <w:tr2bl w:val="nil"/>
            </w:tcBorders>
            <w:noWrap w:val="0"/>
            <w:vAlign w:val="center"/>
          </w:tcPr>
          <w:p>
            <w:pPr>
              <w:spacing w:line="360" w:lineRule="atLeast"/>
              <w:jc w:val="center"/>
              <w:rPr>
                <w:color w:val="000000"/>
                <w:szCs w:val="21"/>
              </w:rPr>
            </w:pPr>
            <w:r>
              <w:rPr>
                <w:color w:val="000000"/>
                <w:szCs w:val="21"/>
              </w:rPr>
              <w:t>废气</w:t>
            </w:r>
          </w:p>
        </w:tc>
        <w:tc>
          <w:tcPr>
            <w:tcW w:w="5133" w:type="dxa"/>
            <w:tcBorders>
              <w:tl2br w:val="nil"/>
              <w:tr2bl w:val="nil"/>
            </w:tcBorders>
            <w:noWrap w:val="0"/>
            <w:vAlign w:val="center"/>
          </w:tcPr>
          <w:p>
            <w:pPr>
              <w:autoSpaceDE w:val="0"/>
              <w:autoSpaceDN w:val="0"/>
              <w:adjustRightInd w:val="0"/>
              <w:rPr>
                <w:rFonts w:hint="eastAsia"/>
                <w:color w:val="000000"/>
                <w:szCs w:val="21"/>
                <w:shd w:val="clear" w:color="auto" w:fill="auto"/>
              </w:rPr>
            </w:pPr>
            <w:r>
              <w:rPr>
                <w:rFonts w:hint="eastAsia"/>
                <w:color w:val="000000"/>
                <w:szCs w:val="21"/>
                <w:shd w:val="clear" w:color="auto" w:fill="auto"/>
              </w:rPr>
              <w:t>塑化工序废气经集气罩收集后经二级活性炭吸附装置处理后通过1根15m高排气筒排放</w:t>
            </w:r>
          </w:p>
          <w:p>
            <w:pPr>
              <w:autoSpaceDE w:val="0"/>
              <w:autoSpaceDN w:val="0"/>
              <w:adjustRightInd w:val="0"/>
              <w:rPr>
                <w:color w:val="auto"/>
                <w:szCs w:val="21"/>
              </w:rPr>
            </w:pPr>
            <w:r>
              <w:rPr>
                <w:color w:val="auto"/>
                <w:szCs w:val="21"/>
              </w:rPr>
              <w:t>无组织排放管控：车间封闭</w:t>
            </w:r>
          </w:p>
        </w:tc>
        <w:tc>
          <w:tcPr>
            <w:tcW w:w="1379" w:type="dxa"/>
            <w:tcBorders>
              <w:tl2br w:val="nil"/>
              <w:tr2bl w:val="nil"/>
            </w:tcBorders>
            <w:noWrap w:val="0"/>
            <w:vAlign w:val="center"/>
          </w:tcPr>
          <w:p>
            <w:pPr>
              <w:autoSpaceDE w:val="0"/>
              <w:autoSpaceDN w:val="0"/>
              <w:adjustRightInd w:val="0"/>
              <w:rPr>
                <w:color w:val="auto"/>
                <w:szCs w:val="21"/>
              </w:rPr>
            </w:pPr>
            <w:r>
              <w:rPr>
                <w:rFonts w:hint="eastAsia"/>
                <w:color w:val="000000"/>
                <w:szCs w:val="21"/>
                <w:lang w:eastAsia="zh-CN"/>
              </w:rPr>
              <w:t>项目实际为等离子净化机+二级活性炭装置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48" w:type="dxa"/>
            <w:vMerge w:val="continue"/>
            <w:tcBorders>
              <w:tl2br w:val="nil"/>
              <w:tr2bl w:val="nil"/>
            </w:tcBorders>
            <w:noWrap w:val="0"/>
            <w:vAlign w:val="center"/>
          </w:tcPr>
          <w:p>
            <w:pPr>
              <w:spacing w:line="360" w:lineRule="atLeast"/>
              <w:jc w:val="center"/>
              <w:rPr>
                <w:color w:val="000000"/>
                <w:szCs w:val="21"/>
              </w:rPr>
            </w:pPr>
          </w:p>
        </w:tc>
        <w:tc>
          <w:tcPr>
            <w:tcW w:w="639" w:type="dxa"/>
            <w:tcBorders>
              <w:tl2br w:val="nil"/>
              <w:tr2bl w:val="nil"/>
            </w:tcBorders>
            <w:noWrap w:val="0"/>
            <w:vAlign w:val="center"/>
          </w:tcPr>
          <w:p>
            <w:pPr>
              <w:spacing w:line="360" w:lineRule="atLeast"/>
              <w:jc w:val="center"/>
              <w:rPr>
                <w:color w:val="000000"/>
                <w:szCs w:val="21"/>
              </w:rPr>
            </w:pPr>
            <w:r>
              <w:rPr>
                <w:color w:val="000000"/>
                <w:szCs w:val="21"/>
              </w:rPr>
              <w:t>废水</w:t>
            </w:r>
          </w:p>
        </w:tc>
        <w:tc>
          <w:tcPr>
            <w:tcW w:w="5133" w:type="dxa"/>
            <w:tcBorders>
              <w:tl2br w:val="nil"/>
              <w:tr2bl w:val="nil"/>
            </w:tcBorders>
            <w:noWrap w:val="0"/>
            <w:vAlign w:val="center"/>
          </w:tcPr>
          <w:p>
            <w:pPr>
              <w:spacing w:line="360" w:lineRule="atLeast"/>
              <w:rPr>
                <w:rFonts w:hint="eastAsia"/>
                <w:color w:val="auto"/>
                <w:szCs w:val="21"/>
              </w:rPr>
            </w:pPr>
            <w:r>
              <w:rPr>
                <w:rFonts w:hint="eastAsia"/>
                <w:color w:val="auto"/>
                <w:szCs w:val="21"/>
              </w:rPr>
              <w:t>项目冷却塔用水循环使用不外排；</w:t>
            </w:r>
          </w:p>
          <w:p>
            <w:pPr>
              <w:spacing w:line="360" w:lineRule="atLeast"/>
              <w:rPr>
                <w:color w:val="auto"/>
                <w:szCs w:val="21"/>
              </w:rPr>
            </w:pPr>
            <w:r>
              <w:rPr>
                <w:rFonts w:hint="eastAsia"/>
                <w:color w:val="auto"/>
                <w:szCs w:val="21"/>
              </w:rPr>
              <w:t>生活污水排入化粪池，定时清掏</w:t>
            </w:r>
          </w:p>
        </w:tc>
        <w:tc>
          <w:tcPr>
            <w:tcW w:w="1379" w:type="dxa"/>
            <w:tcBorders>
              <w:tl2br w:val="nil"/>
              <w:tr2bl w:val="nil"/>
            </w:tcBorders>
            <w:noWrap w:val="0"/>
            <w:vAlign w:val="center"/>
          </w:tcPr>
          <w:p>
            <w:pPr>
              <w:spacing w:line="360" w:lineRule="atLeast"/>
              <w:rPr>
                <w:color w:val="auto"/>
                <w:szCs w:val="21"/>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8" w:type="dxa"/>
            <w:vMerge w:val="continue"/>
            <w:tcBorders>
              <w:tl2br w:val="nil"/>
              <w:tr2bl w:val="nil"/>
            </w:tcBorders>
            <w:noWrap w:val="0"/>
            <w:vAlign w:val="center"/>
          </w:tcPr>
          <w:p>
            <w:pPr>
              <w:spacing w:line="360" w:lineRule="atLeast"/>
              <w:jc w:val="center"/>
              <w:rPr>
                <w:color w:val="000000"/>
                <w:szCs w:val="21"/>
              </w:rPr>
            </w:pPr>
          </w:p>
        </w:tc>
        <w:tc>
          <w:tcPr>
            <w:tcW w:w="639" w:type="dxa"/>
            <w:tcBorders>
              <w:tl2br w:val="nil"/>
              <w:tr2bl w:val="nil"/>
            </w:tcBorders>
            <w:noWrap w:val="0"/>
            <w:vAlign w:val="center"/>
          </w:tcPr>
          <w:p>
            <w:pPr>
              <w:spacing w:line="360" w:lineRule="atLeast"/>
              <w:jc w:val="center"/>
              <w:rPr>
                <w:color w:val="000000"/>
                <w:szCs w:val="21"/>
              </w:rPr>
            </w:pPr>
            <w:r>
              <w:rPr>
                <w:color w:val="000000"/>
                <w:szCs w:val="21"/>
              </w:rPr>
              <w:t>噪声</w:t>
            </w:r>
          </w:p>
        </w:tc>
        <w:tc>
          <w:tcPr>
            <w:tcW w:w="5133" w:type="dxa"/>
            <w:tcBorders>
              <w:tl2br w:val="nil"/>
              <w:tr2bl w:val="nil"/>
            </w:tcBorders>
            <w:noWrap w:val="0"/>
            <w:vAlign w:val="center"/>
          </w:tcPr>
          <w:p>
            <w:pPr>
              <w:spacing w:line="360" w:lineRule="atLeast"/>
              <w:rPr>
                <w:color w:val="auto"/>
                <w:szCs w:val="21"/>
              </w:rPr>
            </w:pPr>
            <w:r>
              <w:rPr>
                <w:rFonts w:hint="eastAsia"/>
                <w:color w:val="auto"/>
                <w:szCs w:val="21"/>
              </w:rPr>
              <w:t>选用低噪声设备，设备加减振装置等措施，布局合理，高噪声设备远离厂界</w:t>
            </w:r>
          </w:p>
        </w:tc>
        <w:tc>
          <w:tcPr>
            <w:tcW w:w="1379" w:type="dxa"/>
            <w:tcBorders>
              <w:tl2br w:val="nil"/>
              <w:tr2bl w:val="nil"/>
            </w:tcBorders>
            <w:noWrap w:val="0"/>
            <w:vAlign w:val="center"/>
          </w:tcPr>
          <w:p>
            <w:pPr>
              <w:spacing w:line="360" w:lineRule="atLeast"/>
              <w:rPr>
                <w:snapToGrid w:val="0"/>
                <w:color w:val="auto"/>
                <w:szCs w:val="21"/>
              </w:rPr>
            </w:pPr>
            <w:r>
              <w:rPr>
                <w:rFonts w:hint="eastAsia"/>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1148" w:type="dxa"/>
            <w:vMerge w:val="continue"/>
            <w:tcBorders>
              <w:tl2br w:val="nil"/>
              <w:tr2bl w:val="nil"/>
            </w:tcBorders>
            <w:noWrap w:val="0"/>
            <w:vAlign w:val="center"/>
          </w:tcPr>
          <w:p>
            <w:pPr>
              <w:spacing w:line="360" w:lineRule="atLeast"/>
              <w:jc w:val="center"/>
              <w:rPr>
                <w:color w:val="000000"/>
                <w:szCs w:val="21"/>
              </w:rPr>
            </w:pPr>
          </w:p>
        </w:tc>
        <w:tc>
          <w:tcPr>
            <w:tcW w:w="639" w:type="dxa"/>
            <w:tcBorders>
              <w:tl2br w:val="nil"/>
              <w:tr2bl w:val="nil"/>
            </w:tcBorders>
            <w:noWrap w:val="0"/>
            <w:vAlign w:val="center"/>
          </w:tcPr>
          <w:p>
            <w:pPr>
              <w:spacing w:line="360" w:lineRule="atLeast"/>
              <w:jc w:val="center"/>
              <w:rPr>
                <w:color w:val="000000"/>
                <w:szCs w:val="21"/>
              </w:rPr>
            </w:pPr>
            <w:r>
              <w:rPr>
                <w:color w:val="000000"/>
                <w:szCs w:val="21"/>
              </w:rPr>
              <w:t>固废</w:t>
            </w:r>
          </w:p>
        </w:tc>
        <w:tc>
          <w:tcPr>
            <w:tcW w:w="5133" w:type="dxa"/>
            <w:tcBorders>
              <w:tl2br w:val="nil"/>
              <w:tr2bl w:val="nil"/>
            </w:tcBorders>
            <w:noWrap w:val="0"/>
            <w:vAlign w:val="center"/>
          </w:tcPr>
          <w:p>
            <w:pPr>
              <w:spacing w:line="360" w:lineRule="atLeast"/>
              <w:rPr>
                <w:color w:val="auto"/>
                <w:szCs w:val="21"/>
              </w:rPr>
            </w:pPr>
            <w:r>
              <w:rPr>
                <w:rFonts w:hint="eastAsia"/>
                <w:color w:val="auto"/>
                <w:szCs w:val="21"/>
              </w:rPr>
              <w:t>生产过程产生的下脚料收集后外售综合利用；废气处理装置产生的废活性炭为危险废物，交有危废处置资质单位处理；生活垃圾由收集后由环卫部门定期清运</w:t>
            </w:r>
          </w:p>
        </w:tc>
        <w:tc>
          <w:tcPr>
            <w:tcW w:w="1379" w:type="dxa"/>
            <w:tcBorders>
              <w:tl2br w:val="nil"/>
              <w:tr2bl w:val="nil"/>
            </w:tcBorders>
            <w:noWrap w:val="0"/>
            <w:vAlign w:val="center"/>
          </w:tcPr>
          <w:p>
            <w:pPr>
              <w:spacing w:line="360" w:lineRule="atLeast"/>
              <w:rPr>
                <w:color w:val="auto"/>
                <w:szCs w:val="21"/>
              </w:rPr>
            </w:pPr>
            <w:r>
              <w:rPr>
                <w:rFonts w:hint="eastAsia"/>
                <w:color w:val="000000"/>
                <w:szCs w:val="21"/>
                <w:lang w:eastAsia="zh-CN"/>
              </w:rPr>
              <w:t>与环评一致</w:t>
            </w:r>
          </w:p>
        </w:tc>
      </w:tr>
    </w:tbl>
    <w:p>
      <w:pPr>
        <w:pStyle w:val="7"/>
        <w:rPr>
          <w:rFonts w:hint="default" w:ascii="Times New Roman" w:hAnsi="Times New Roman" w:eastAsia="宋体" w:cs="Times New Roman"/>
        </w:rPr>
      </w:pPr>
      <w:bookmarkStart w:id="76" w:name="_Toc27123"/>
      <w:r>
        <w:rPr>
          <w:rFonts w:hint="default" w:ascii="Times New Roman" w:hAnsi="Times New Roman" w:eastAsia="宋体" w:cs="Times New Roman"/>
        </w:rPr>
        <w:t>2.2.4 生产设备</w:t>
      </w:r>
      <w:bookmarkEnd w:id="71"/>
      <w:bookmarkEnd w:id="72"/>
      <w:bookmarkEnd w:id="73"/>
      <w:bookmarkEnd w:id="74"/>
      <w:bookmarkEnd w:id="75"/>
      <w:bookmarkEnd w:id="76"/>
    </w:p>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baseline"/>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default" w:ascii="Times New Roman" w:hAnsi="Times New Roman" w:eastAsia="宋体" w:cs="Times New Roman"/>
          <w:sz w:val="24"/>
          <w:szCs w:val="24"/>
          <w:lang w:eastAsia="zh-CN"/>
        </w:rPr>
        <w:t>主要生产</w:t>
      </w:r>
      <w:r>
        <w:rPr>
          <w:rFonts w:hint="default" w:ascii="Times New Roman" w:hAnsi="Times New Roman" w:eastAsia="宋体" w:cs="Times New Roman"/>
          <w:sz w:val="24"/>
          <w:szCs w:val="24"/>
        </w:rPr>
        <w:t>设备一览表见表2-</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atLeast"/>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r>
        <w:rPr>
          <w:rFonts w:hint="eastAsia" w:ascii="Times New Roman" w:hAnsi="Times New Roman" w:cs="Times New Roman"/>
          <w:b/>
          <w:sz w:val="24"/>
          <w:szCs w:val="24"/>
          <w:lang w:val="en-US" w:eastAsia="zh-CN"/>
        </w:rPr>
        <w:t>4</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sz w:val="24"/>
          <w:szCs w:val="24"/>
          <w:lang w:eastAsia="zh-CN"/>
        </w:rPr>
        <w:t>主要</w:t>
      </w:r>
      <w:r>
        <w:rPr>
          <w:rFonts w:hint="default" w:ascii="Times New Roman" w:hAnsi="Times New Roman" w:eastAsia="宋体" w:cs="Times New Roman"/>
          <w:b/>
          <w:sz w:val="24"/>
          <w:szCs w:val="24"/>
        </w:rPr>
        <w:t>设备一览表</w:t>
      </w:r>
    </w:p>
    <w:tbl>
      <w:tblPr>
        <w:tblStyle w:val="22"/>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
      <w:tblGrid>
        <w:gridCol w:w="874"/>
        <w:gridCol w:w="2302"/>
        <w:gridCol w:w="1981"/>
        <w:gridCol w:w="1653"/>
        <w:gridCol w:w="164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76" w:hRule="exact"/>
          <w:jc w:val="center"/>
        </w:trPr>
        <w:tc>
          <w:tcPr>
            <w:tcW w:w="874" w:type="dxa"/>
            <w:noWrap w:val="0"/>
            <w:tcMar>
              <w:left w:w="108" w:type="dxa"/>
              <w:right w:w="108" w:type="dxa"/>
            </w:tcMar>
            <w:vAlign w:val="center"/>
          </w:tcPr>
          <w:p>
            <w:pPr>
              <w:jc w:val="center"/>
              <w:rPr>
                <w:color w:val="000000"/>
                <w:szCs w:val="21"/>
              </w:rPr>
            </w:pPr>
            <w:bookmarkStart w:id="77" w:name="_Toc376"/>
            <w:bookmarkStart w:id="78" w:name="_Toc23184"/>
            <w:bookmarkStart w:id="79" w:name="_Toc25900"/>
            <w:r>
              <w:rPr>
                <w:color w:val="000000"/>
                <w:spacing w:val="20"/>
                <w:szCs w:val="21"/>
              </w:rPr>
              <w:t>序号</w:t>
            </w:r>
          </w:p>
        </w:tc>
        <w:tc>
          <w:tcPr>
            <w:tcW w:w="2302" w:type="dxa"/>
            <w:noWrap w:val="0"/>
            <w:tcMar>
              <w:left w:w="108" w:type="dxa"/>
              <w:right w:w="108" w:type="dxa"/>
            </w:tcMar>
            <w:vAlign w:val="center"/>
          </w:tcPr>
          <w:p>
            <w:pPr>
              <w:jc w:val="center"/>
              <w:rPr>
                <w:color w:val="000000"/>
                <w:szCs w:val="21"/>
              </w:rPr>
            </w:pPr>
            <w:r>
              <w:rPr>
                <w:color w:val="000000"/>
                <w:spacing w:val="20"/>
                <w:szCs w:val="21"/>
              </w:rPr>
              <w:t>生产设备</w:t>
            </w:r>
          </w:p>
        </w:tc>
        <w:tc>
          <w:tcPr>
            <w:tcW w:w="1981" w:type="dxa"/>
            <w:noWrap w:val="0"/>
            <w:tcMar>
              <w:left w:w="108" w:type="dxa"/>
              <w:right w:w="108" w:type="dxa"/>
            </w:tcMar>
            <w:vAlign w:val="center"/>
          </w:tcPr>
          <w:p>
            <w:pPr>
              <w:tabs>
                <w:tab w:val="left" w:pos="1512"/>
              </w:tabs>
              <w:jc w:val="center"/>
              <w:rPr>
                <w:color w:val="000000"/>
                <w:szCs w:val="21"/>
              </w:rPr>
            </w:pPr>
            <w:r>
              <w:rPr>
                <w:color w:val="000000"/>
                <w:spacing w:val="20"/>
                <w:szCs w:val="21"/>
              </w:rPr>
              <w:t>型号</w:t>
            </w:r>
          </w:p>
        </w:tc>
        <w:tc>
          <w:tcPr>
            <w:tcW w:w="1653" w:type="dxa"/>
            <w:tcBorders>
              <w:right w:val="single" w:color="auto" w:sz="4" w:space="0"/>
            </w:tcBorders>
            <w:noWrap w:val="0"/>
            <w:tcMar>
              <w:left w:w="108" w:type="dxa"/>
              <w:right w:w="108" w:type="dxa"/>
            </w:tcMar>
            <w:vAlign w:val="center"/>
          </w:tcPr>
          <w:p>
            <w:pPr>
              <w:tabs>
                <w:tab w:val="left" w:pos="1512"/>
              </w:tabs>
              <w:jc w:val="center"/>
              <w:rPr>
                <w:color w:val="000000"/>
                <w:szCs w:val="21"/>
              </w:rPr>
            </w:pPr>
            <w:r>
              <w:rPr>
                <w:color w:val="000000"/>
                <w:spacing w:val="20"/>
                <w:szCs w:val="21"/>
              </w:rPr>
              <w:t>数量（台）</w:t>
            </w:r>
          </w:p>
        </w:tc>
        <w:tc>
          <w:tcPr>
            <w:tcW w:w="1648" w:type="dxa"/>
            <w:tcBorders>
              <w:left w:val="single" w:color="auto" w:sz="4" w:space="0"/>
            </w:tcBorders>
            <w:noWrap w:val="0"/>
            <w:tcMar>
              <w:left w:w="108" w:type="dxa"/>
              <w:right w:w="108" w:type="dxa"/>
            </w:tcMar>
            <w:vAlign w:val="center"/>
          </w:tcPr>
          <w:p>
            <w:pPr>
              <w:tabs>
                <w:tab w:val="left" w:pos="1512"/>
              </w:tabs>
              <w:jc w:val="center"/>
              <w:rPr>
                <w:rFonts w:hint="eastAsia" w:eastAsia="宋体"/>
                <w:color w:val="000000"/>
                <w:spacing w:val="20"/>
                <w:szCs w:val="21"/>
                <w:lang w:eastAsia="zh-CN"/>
              </w:rPr>
            </w:pPr>
            <w:r>
              <w:rPr>
                <w:rFonts w:hint="eastAsia"/>
                <w:color w:val="000000"/>
                <w:spacing w:val="20"/>
                <w:szCs w:val="21"/>
                <w:lang w:eastAsia="zh-CN"/>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76" w:hRule="exact"/>
          <w:jc w:val="center"/>
        </w:trPr>
        <w:tc>
          <w:tcPr>
            <w:tcW w:w="874" w:type="dxa"/>
            <w:shd w:val="clear" w:color="000000" w:fill="FFFFFF"/>
            <w:noWrap w:val="0"/>
            <w:tcMar>
              <w:left w:w="108" w:type="dxa"/>
              <w:right w:w="108" w:type="dxa"/>
            </w:tcMar>
            <w:vAlign w:val="center"/>
          </w:tcPr>
          <w:p>
            <w:pPr>
              <w:jc w:val="center"/>
              <w:rPr>
                <w:color w:val="000000"/>
                <w:szCs w:val="21"/>
              </w:rPr>
            </w:pPr>
            <w:r>
              <w:rPr>
                <w:color w:val="000000"/>
                <w:spacing w:val="20"/>
                <w:szCs w:val="21"/>
              </w:rPr>
              <w:t>1</w:t>
            </w:r>
          </w:p>
        </w:tc>
        <w:tc>
          <w:tcPr>
            <w:tcW w:w="2302" w:type="dxa"/>
            <w:shd w:val="clear" w:color="000000" w:fill="FFFFFF"/>
            <w:noWrap w:val="0"/>
            <w:tcMar>
              <w:left w:w="108" w:type="dxa"/>
              <w:right w:w="108" w:type="dxa"/>
            </w:tcMar>
            <w:vAlign w:val="center"/>
          </w:tcPr>
          <w:p>
            <w:pPr>
              <w:jc w:val="center"/>
              <w:rPr>
                <w:rFonts w:ascii="??" w:hAnsi="??" w:eastAsia="宋体" w:cs="Times New Roman"/>
                <w:color w:val="000000"/>
                <w:kern w:val="2"/>
                <w:sz w:val="21"/>
                <w:szCs w:val="21"/>
                <w:shd w:val="clear" w:color="auto" w:fill="auto"/>
                <w:lang w:val="en-US" w:eastAsia="zh-CN" w:bidi="ar-SA"/>
              </w:rPr>
            </w:pPr>
            <w:r>
              <w:rPr>
                <w:rFonts w:hint="eastAsia"/>
                <w:color w:val="000000"/>
                <w:szCs w:val="21"/>
                <w:shd w:val="clear" w:color="auto" w:fill="auto"/>
              </w:rPr>
              <w:t>涂刮地毯复底生产线</w:t>
            </w:r>
          </w:p>
        </w:tc>
        <w:tc>
          <w:tcPr>
            <w:tcW w:w="1981" w:type="dxa"/>
            <w:shd w:val="clear" w:color="000000" w:fill="FFFFFF"/>
            <w:noWrap w:val="0"/>
            <w:tcMar>
              <w:left w:w="108" w:type="dxa"/>
              <w:right w:w="108" w:type="dxa"/>
            </w:tcMar>
            <w:vAlign w:val="center"/>
          </w:tcPr>
          <w:p>
            <w:pPr>
              <w:jc w:val="center"/>
              <w:rPr>
                <w:rFonts w:ascii="??" w:hAnsi="??" w:eastAsia="宋体" w:cs="Times New Roman"/>
                <w:color w:val="000000"/>
                <w:kern w:val="2"/>
                <w:sz w:val="21"/>
                <w:szCs w:val="21"/>
                <w:shd w:val="clear" w:color="auto" w:fill="auto"/>
                <w:lang w:val="en-US" w:eastAsia="zh-CN" w:bidi="ar-SA"/>
              </w:rPr>
            </w:pPr>
            <w:r>
              <w:rPr>
                <w:rFonts w:hint="eastAsia"/>
                <w:color w:val="000000"/>
                <w:szCs w:val="21"/>
                <w:shd w:val="clear" w:color="auto" w:fill="auto"/>
              </w:rPr>
              <w:t>FH-220PVC</w:t>
            </w:r>
          </w:p>
        </w:tc>
        <w:tc>
          <w:tcPr>
            <w:tcW w:w="1653" w:type="dxa"/>
            <w:tcBorders>
              <w:right w:val="single" w:color="auto" w:sz="4" w:space="0"/>
            </w:tcBorders>
            <w:shd w:val="clear" w:color="000000" w:fill="FFFFFF"/>
            <w:noWrap w:val="0"/>
            <w:tcMar>
              <w:left w:w="108" w:type="dxa"/>
              <w:right w:w="108" w:type="dxa"/>
            </w:tcMar>
            <w:vAlign w:val="center"/>
          </w:tcPr>
          <w:p>
            <w:pPr>
              <w:pStyle w:val="48"/>
              <w:spacing w:line="240" w:lineRule="auto"/>
              <w:rPr>
                <w:rFonts w:ascii="Times New Roman" w:hAnsi="Times New Roman" w:eastAsia="宋体" w:cs="Times New Roman"/>
                <w:bCs/>
                <w:color w:val="000000"/>
                <w:spacing w:val="4"/>
                <w:kern w:val="2"/>
                <w:sz w:val="21"/>
                <w:szCs w:val="21"/>
                <w:shd w:val="clear" w:color="auto" w:fill="auto"/>
                <w:lang w:val="en-US" w:eastAsia="zh-CN" w:bidi="ar-SA"/>
              </w:rPr>
            </w:pPr>
            <w:r>
              <w:rPr>
                <w:rFonts w:hint="eastAsia" w:ascii="Times New Roman" w:hAnsi="Times New Roman" w:eastAsia="宋体"/>
                <w:color w:val="000000"/>
                <w:szCs w:val="21"/>
                <w:shd w:val="clear" w:color="auto" w:fill="auto"/>
              </w:rPr>
              <w:t>2</w:t>
            </w:r>
          </w:p>
        </w:tc>
        <w:tc>
          <w:tcPr>
            <w:tcW w:w="1648" w:type="dxa"/>
            <w:tcBorders>
              <w:left w:val="single" w:color="auto" w:sz="4" w:space="0"/>
            </w:tcBorders>
            <w:shd w:val="clear" w:color="000000" w:fill="FFFFFF"/>
            <w:noWrap w:val="0"/>
            <w:tcMar>
              <w:left w:w="108" w:type="dxa"/>
              <w:right w:w="108" w:type="dxa"/>
            </w:tcMar>
            <w:vAlign w:val="center"/>
          </w:tcPr>
          <w:p>
            <w:pPr>
              <w:jc w:val="center"/>
              <w:rPr>
                <w:szCs w:val="21"/>
              </w:rPr>
            </w:pPr>
            <w:r>
              <w:rPr>
                <w:rFonts w:hint="eastAsia"/>
                <w:color w:val="000000"/>
                <w:szCs w:val="21"/>
                <w:lang w:eastAsia="zh-CN"/>
              </w:rPr>
              <w:t>与环评一致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76" w:hRule="exact"/>
          <w:jc w:val="center"/>
        </w:trPr>
        <w:tc>
          <w:tcPr>
            <w:tcW w:w="874" w:type="dxa"/>
            <w:shd w:val="clear" w:color="000000" w:fill="FFFFFF"/>
            <w:noWrap w:val="0"/>
            <w:tcMar>
              <w:left w:w="108" w:type="dxa"/>
              <w:right w:w="108" w:type="dxa"/>
            </w:tcMar>
            <w:vAlign w:val="center"/>
          </w:tcPr>
          <w:p>
            <w:pPr>
              <w:jc w:val="center"/>
              <w:rPr>
                <w:color w:val="000000"/>
                <w:szCs w:val="21"/>
              </w:rPr>
            </w:pPr>
            <w:r>
              <w:rPr>
                <w:color w:val="000000"/>
                <w:spacing w:val="20"/>
                <w:szCs w:val="21"/>
              </w:rPr>
              <w:t>2</w:t>
            </w:r>
          </w:p>
        </w:tc>
        <w:tc>
          <w:tcPr>
            <w:tcW w:w="2302" w:type="dxa"/>
            <w:shd w:val="clear" w:color="000000" w:fill="FFFFFF"/>
            <w:noWrap w:val="0"/>
            <w:tcMar>
              <w:left w:w="108" w:type="dxa"/>
              <w:right w:w="108" w:type="dxa"/>
            </w:tcMar>
            <w:vAlign w:val="center"/>
          </w:tcPr>
          <w:p>
            <w:pPr>
              <w:jc w:val="center"/>
              <w:rPr>
                <w:rFonts w:ascii="??" w:hAnsi="??" w:eastAsia="宋体" w:cs="Times New Roman"/>
                <w:color w:val="000000"/>
                <w:kern w:val="2"/>
                <w:sz w:val="21"/>
                <w:szCs w:val="21"/>
                <w:shd w:val="clear" w:color="auto" w:fill="auto"/>
                <w:lang w:val="en-US" w:eastAsia="zh-CN" w:bidi="ar-SA"/>
              </w:rPr>
            </w:pPr>
            <w:r>
              <w:rPr>
                <w:rFonts w:hint="eastAsia"/>
                <w:color w:val="000000"/>
                <w:szCs w:val="21"/>
                <w:shd w:val="clear" w:color="auto" w:fill="auto"/>
              </w:rPr>
              <w:t>电加热炉</w:t>
            </w:r>
          </w:p>
        </w:tc>
        <w:tc>
          <w:tcPr>
            <w:tcW w:w="1981" w:type="dxa"/>
            <w:shd w:val="clear" w:color="000000" w:fill="FFFFFF"/>
            <w:noWrap w:val="0"/>
            <w:tcMar>
              <w:left w:w="108" w:type="dxa"/>
              <w:right w:w="108" w:type="dxa"/>
            </w:tcMar>
            <w:vAlign w:val="center"/>
          </w:tcPr>
          <w:p>
            <w:pPr>
              <w:jc w:val="center"/>
              <w:rPr>
                <w:rFonts w:ascii="??" w:hAnsi="??" w:eastAsia="宋体" w:cs="Times New Roman"/>
                <w:color w:val="000000"/>
                <w:kern w:val="2"/>
                <w:sz w:val="21"/>
                <w:szCs w:val="21"/>
                <w:shd w:val="clear" w:color="auto" w:fill="auto"/>
                <w:lang w:val="en-US" w:eastAsia="zh-CN" w:bidi="ar-SA"/>
              </w:rPr>
            </w:pPr>
            <w:r>
              <w:rPr>
                <w:rFonts w:hint="eastAsia"/>
                <w:color w:val="000000"/>
                <w:szCs w:val="21"/>
                <w:shd w:val="clear" w:color="auto" w:fill="auto"/>
              </w:rPr>
              <w:t>SQ120</w:t>
            </w:r>
          </w:p>
        </w:tc>
        <w:tc>
          <w:tcPr>
            <w:tcW w:w="1653" w:type="dxa"/>
            <w:tcBorders>
              <w:right w:val="single" w:color="auto" w:sz="4" w:space="0"/>
            </w:tcBorders>
            <w:shd w:val="clear" w:color="000000" w:fill="FFFFFF"/>
            <w:noWrap w:val="0"/>
            <w:tcMar>
              <w:left w:w="108" w:type="dxa"/>
              <w:right w:w="108" w:type="dxa"/>
            </w:tcMar>
            <w:vAlign w:val="center"/>
          </w:tcPr>
          <w:p>
            <w:pPr>
              <w:pStyle w:val="48"/>
              <w:spacing w:line="240" w:lineRule="auto"/>
              <w:rPr>
                <w:rFonts w:ascii="Times New Roman" w:hAnsi="Times New Roman" w:eastAsia="宋体" w:cs="Times New Roman"/>
                <w:bCs/>
                <w:color w:val="000000"/>
                <w:spacing w:val="4"/>
                <w:kern w:val="2"/>
                <w:sz w:val="21"/>
                <w:szCs w:val="21"/>
                <w:shd w:val="clear" w:color="auto" w:fill="auto"/>
                <w:lang w:val="en-US" w:eastAsia="zh-CN" w:bidi="ar-SA"/>
              </w:rPr>
            </w:pPr>
            <w:r>
              <w:rPr>
                <w:rFonts w:hint="eastAsia" w:ascii="Times New Roman" w:hAnsi="Times New Roman" w:eastAsia="宋体"/>
                <w:color w:val="000000"/>
                <w:szCs w:val="21"/>
                <w:shd w:val="clear" w:color="auto" w:fill="auto"/>
              </w:rPr>
              <w:t>6</w:t>
            </w:r>
          </w:p>
        </w:tc>
        <w:tc>
          <w:tcPr>
            <w:tcW w:w="1648" w:type="dxa"/>
            <w:tcBorders>
              <w:left w:val="single" w:color="auto" w:sz="4" w:space="0"/>
            </w:tcBorders>
            <w:shd w:val="clear" w:color="000000" w:fill="FFFFFF"/>
            <w:noWrap w:val="0"/>
            <w:tcMar>
              <w:left w:w="108" w:type="dxa"/>
              <w:right w:w="108" w:type="dxa"/>
            </w:tcMar>
            <w:vAlign w:val="center"/>
          </w:tcPr>
          <w:p>
            <w:pPr>
              <w:jc w:val="center"/>
              <w:rPr>
                <w:szCs w:val="21"/>
              </w:rPr>
            </w:pPr>
            <w:r>
              <w:rPr>
                <w:rFonts w:hint="eastAsia"/>
                <w:color w:val="000000"/>
                <w:szCs w:val="21"/>
                <w:lang w:eastAsia="zh-CN"/>
              </w:rPr>
              <w:t>与环评一致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76" w:hRule="exact"/>
          <w:jc w:val="center"/>
        </w:trPr>
        <w:tc>
          <w:tcPr>
            <w:tcW w:w="874" w:type="dxa"/>
            <w:shd w:val="clear" w:color="000000" w:fill="FFFFFF"/>
            <w:noWrap w:val="0"/>
            <w:tcMar>
              <w:left w:w="108" w:type="dxa"/>
              <w:right w:w="108" w:type="dxa"/>
            </w:tcMar>
            <w:vAlign w:val="center"/>
          </w:tcPr>
          <w:p>
            <w:pPr>
              <w:jc w:val="center"/>
              <w:rPr>
                <w:color w:val="000000"/>
                <w:szCs w:val="21"/>
              </w:rPr>
            </w:pPr>
            <w:r>
              <w:rPr>
                <w:color w:val="000000"/>
                <w:spacing w:val="20"/>
                <w:szCs w:val="21"/>
              </w:rPr>
              <w:t>3</w:t>
            </w:r>
          </w:p>
        </w:tc>
        <w:tc>
          <w:tcPr>
            <w:tcW w:w="2302" w:type="dxa"/>
            <w:shd w:val="clear" w:color="000000" w:fill="FFFFFF"/>
            <w:noWrap w:val="0"/>
            <w:tcMar>
              <w:left w:w="108" w:type="dxa"/>
              <w:right w:w="108" w:type="dxa"/>
            </w:tcMar>
            <w:vAlign w:val="center"/>
          </w:tcPr>
          <w:p>
            <w:pPr>
              <w:jc w:val="center"/>
              <w:rPr>
                <w:rFonts w:ascii="??" w:hAnsi="??" w:eastAsia="宋体" w:cs="Times New Roman"/>
                <w:color w:val="000000"/>
                <w:kern w:val="2"/>
                <w:sz w:val="21"/>
                <w:szCs w:val="21"/>
                <w:shd w:val="clear" w:color="auto" w:fill="auto"/>
                <w:lang w:val="en-US" w:eastAsia="zh-CN" w:bidi="ar-SA"/>
              </w:rPr>
            </w:pPr>
            <w:r>
              <w:rPr>
                <w:rFonts w:hint="eastAsia"/>
                <w:color w:val="000000"/>
                <w:szCs w:val="21"/>
                <w:shd w:val="clear" w:color="auto" w:fill="auto"/>
              </w:rPr>
              <w:t>储料罐</w:t>
            </w:r>
          </w:p>
        </w:tc>
        <w:tc>
          <w:tcPr>
            <w:tcW w:w="1981" w:type="dxa"/>
            <w:shd w:val="clear" w:color="000000" w:fill="FFFFFF"/>
            <w:noWrap w:val="0"/>
            <w:tcMar>
              <w:left w:w="108" w:type="dxa"/>
              <w:right w:w="108" w:type="dxa"/>
            </w:tcMar>
            <w:vAlign w:val="center"/>
          </w:tcPr>
          <w:p>
            <w:pPr>
              <w:jc w:val="center"/>
              <w:rPr>
                <w:rFonts w:ascii="??" w:hAnsi="??" w:eastAsia="宋体" w:cs="Times New Roman"/>
                <w:color w:val="000000"/>
                <w:kern w:val="2"/>
                <w:sz w:val="21"/>
                <w:szCs w:val="21"/>
                <w:shd w:val="clear" w:color="auto" w:fill="auto"/>
                <w:lang w:val="en-US" w:eastAsia="zh-CN" w:bidi="ar-SA"/>
              </w:rPr>
            </w:pPr>
            <w:r>
              <w:rPr>
                <w:rFonts w:hint="eastAsia"/>
                <w:color w:val="000000"/>
                <w:szCs w:val="21"/>
                <w:shd w:val="clear" w:color="auto" w:fill="auto"/>
              </w:rPr>
              <w:t>/</w:t>
            </w:r>
          </w:p>
        </w:tc>
        <w:tc>
          <w:tcPr>
            <w:tcW w:w="1653" w:type="dxa"/>
            <w:tcBorders>
              <w:right w:val="single" w:color="auto" w:sz="4" w:space="0"/>
            </w:tcBorders>
            <w:shd w:val="clear" w:color="000000" w:fill="FFFFFF"/>
            <w:noWrap w:val="0"/>
            <w:tcMar>
              <w:left w:w="108" w:type="dxa"/>
              <w:right w:w="108" w:type="dxa"/>
            </w:tcMar>
            <w:vAlign w:val="center"/>
          </w:tcPr>
          <w:p>
            <w:pPr>
              <w:pStyle w:val="48"/>
              <w:spacing w:line="240" w:lineRule="auto"/>
              <w:rPr>
                <w:rFonts w:ascii="Times New Roman" w:hAnsi="Times New Roman" w:eastAsia="宋体" w:cs="Times New Roman"/>
                <w:bCs/>
                <w:color w:val="000000"/>
                <w:spacing w:val="4"/>
                <w:kern w:val="2"/>
                <w:sz w:val="21"/>
                <w:szCs w:val="21"/>
                <w:shd w:val="clear" w:color="auto" w:fill="auto"/>
                <w:lang w:val="en-US" w:eastAsia="zh-CN" w:bidi="ar-SA"/>
              </w:rPr>
            </w:pPr>
            <w:r>
              <w:rPr>
                <w:rFonts w:hint="eastAsia" w:ascii="Times New Roman" w:hAnsi="Times New Roman" w:eastAsia="宋体"/>
                <w:color w:val="000000"/>
                <w:szCs w:val="21"/>
                <w:shd w:val="clear" w:color="auto" w:fill="auto"/>
              </w:rPr>
              <w:t>4</w:t>
            </w:r>
          </w:p>
        </w:tc>
        <w:tc>
          <w:tcPr>
            <w:tcW w:w="1648" w:type="dxa"/>
            <w:tcBorders>
              <w:left w:val="single" w:color="auto" w:sz="4" w:space="0"/>
            </w:tcBorders>
            <w:shd w:val="clear" w:color="000000" w:fill="FFFFFF"/>
            <w:noWrap w:val="0"/>
            <w:tcMar>
              <w:left w:w="108" w:type="dxa"/>
              <w:right w:w="108" w:type="dxa"/>
            </w:tcMar>
            <w:vAlign w:val="center"/>
          </w:tcPr>
          <w:p>
            <w:pPr>
              <w:jc w:val="center"/>
              <w:rPr>
                <w:szCs w:val="21"/>
              </w:rPr>
            </w:pPr>
            <w:r>
              <w:rPr>
                <w:rFonts w:hint="eastAsia"/>
                <w:color w:val="000000"/>
                <w:szCs w:val="21"/>
                <w:lang w:eastAsia="zh-CN"/>
              </w:rPr>
              <w:t>与环评一致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76" w:hRule="exact"/>
          <w:jc w:val="center"/>
        </w:trPr>
        <w:tc>
          <w:tcPr>
            <w:tcW w:w="874" w:type="dxa"/>
            <w:shd w:val="clear" w:color="000000" w:fill="FFFFFF"/>
            <w:noWrap w:val="0"/>
            <w:tcMar>
              <w:left w:w="108" w:type="dxa"/>
              <w:right w:w="108" w:type="dxa"/>
            </w:tcMar>
            <w:vAlign w:val="center"/>
          </w:tcPr>
          <w:p>
            <w:pPr>
              <w:jc w:val="center"/>
              <w:rPr>
                <w:color w:val="000000"/>
                <w:szCs w:val="21"/>
              </w:rPr>
            </w:pPr>
            <w:r>
              <w:rPr>
                <w:color w:val="000000"/>
                <w:spacing w:val="20"/>
                <w:szCs w:val="21"/>
              </w:rPr>
              <w:t>4</w:t>
            </w:r>
          </w:p>
        </w:tc>
        <w:tc>
          <w:tcPr>
            <w:tcW w:w="2302" w:type="dxa"/>
            <w:shd w:val="clear" w:color="000000" w:fill="FFFFFF"/>
            <w:noWrap w:val="0"/>
            <w:tcMar>
              <w:left w:w="108" w:type="dxa"/>
              <w:right w:w="108" w:type="dxa"/>
            </w:tcMar>
            <w:vAlign w:val="center"/>
          </w:tcPr>
          <w:p>
            <w:pPr>
              <w:jc w:val="center"/>
              <w:rPr>
                <w:rFonts w:ascii="??" w:hAnsi="??" w:eastAsia="宋体" w:cs="Times New Roman"/>
                <w:color w:val="000000"/>
                <w:kern w:val="2"/>
                <w:sz w:val="21"/>
                <w:szCs w:val="21"/>
                <w:shd w:val="clear" w:color="auto" w:fill="auto"/>
                <w:lang w:val="en-US" w:eastAsia="zh-CN" w:bidi="ar-SA"/>
              </w:rPr>
            </w:pPr>
            <w:r>
              <w:rPr>
                <w:rFonts w:hint="eastAsia"/>
                <w:color w:val="000000"/>
                <w:szCs w:val="21"/>
                <w:shd w:val="clear" w:color="auto" w:fill="auto"/>
              </w:rPr>
              <w:t>混料装置</w:t>
            </w:r>
          </w:p>
        </w:tc>
        <w:tc>
          <w:tcPr>
            <w:tcW w:w="1981" w:type="dxa"/>
            <w:shd w:val="clear" w:color="000000" w:fill="FFFFFF"/>
            <w:noWrap w:val="0"/>
            <w:tcMar>
              <w:left w:w="108" w:type="dxa"/>
              <w:right w:w="108" w:type="dxa"/>
            </w:tcMar>
            <w:vAlign w:val="center"/>
          </w:tcPr>
          <w:p>
            <w:pPr>
              <w:jc w:val="center"/>
              <w:rPr>
                <w:rFonts w:ascii="??" w:hAnsi="??" w:eastAsia="宋体" w:cs="Times New Roman"/>
                <w:color w:val="000000"/>
                <w:kern w:val="2"/>
                <w:sz w:val="21"/>
                <w:szCs w:val="21"/>
                <w:shd w:val="clear" w:color="auto" w:fill="auto"/>
                <w:lang w:val="en-US" w:eastAsia="zh-CN" w:bidi="ar-SA"/>
              </w:rPr>
            </w:pPr>
            <w:r>
              <w:rPr>
                <w:rFonts w:hint="eastAsia"/>
                <w:color w:val="000000"/>
                <w:szCs w:val="21"/>
                <w:shd w:val="clear" w:color="auto" w:fill="auto"/>
              </w:rPr>
              <w:t>/</w:t>
            </w:r>
          </w:p>
        </w:tc>
        <w:tc>
          <w:tcPr>
            <w:tcW w:w="1653" w:type="dxa"/>
            <w:tcBorders>
              <w:right w:val="single" w:color="auto" w:sz="4" w:space="0"/>
            </w:tcBorders>
            <w:shd w:val="clear" w:color="000000" w:fill="FFFFFF"/>
            <w:noWrap w:val="0"/>
            <w:tcMar>
              <w:left w:w="108" w:type="dxa"/>
              <w:right w:w="108" w:type="dxa"/>
            </w:tcMar>
            <w:vAlign w:val="center"/>
          </w:tcPr>
          <w:p>
            <w:pPr>
              <w:pStyle w:val="48"/>
              <w:spacing w:line="240" w:lineRule="auto"/>
              <w:rPr>
                <w:rFonts w:ascii="Times New Roman" w:hAnsi="Times New Roman" w:eastAsia="宋体" w:cs="Times New Roman"/>
                <w:bCs/>
                <w:color w:val="000000"/>
                <w:spacing w:val="4"/>
                <w:kern w:val="2"/>
                <w:sz w:val="21"/>
                <w:szCs w:val="21"/>
                <w:shd w:val="clear" w:color="auto" w:fill="auto"/>
                <w:lang w:val="en-US" w:eastAsia="zh-CN" w:bidi="ar-SA"/>
              </w:rPr>
            </w:pPr>
            <w:r>
              <w:rPr>
                <w:rFonts w:hint="eastAsia" w:ascii="Times New Roman" w:hAnsi="Times New Roman" w:eastAsia="宋体"/>
                <w:color w:val="000000"/>
                <w:szCs w:val="21"/>
                <w:shd w:val="clear" w:color="auto" w:fill="auto"/>
              </w:rPr>
              <w:t>3</w:t>
            </w:r>
          </w:p>
        </w:tc>
        <w:tc>
          <w:tcPr>
            <w:tcW w:w="1648" w:type="dxa"/>
            <w:tcBorders>
              <w:left w:val="single" w:color="auto" w:sz="4" w:space="0"/>
            </w:tcBorders>
            <w:shd w:val="clear" w:color="000000" w:fill="FFFFFF"/>
            <w:noWrap w:val="0"/>
            <w:tcMar>
              <w:left w:w="108" w:type="dxa"/>
              <w:right w:w="108" w:type="dxa"/>
            </w:tcMar>
            <w:vAlign w:val="center"/>
          </w:tcPr>
          <w:p>
            <w:pPr>
              <w:jc w:val="center"/>
              <w:rPr>
                <w:rFonts w:hint="default"/>
                <w:szCs w:val="21"/>
                <w:lang w:val="en-US"/>
              </w:rPr>
            </w:pPr>
            <w:r>
              <w:rPr>
                <w:rFonts w:hint="eastAsia"/>
                <w:color w:val="000000"/>
                <w:szCs w:val="21"/>
                <w:lang w:eastAsia="zh-CN"/>
              </w:rPr>
              <w:t>实际</w:t>
            </w:r>
            <w:r>
              <w:rPr>
                <w:rFonts w:hint="eastAsia"/>
                <w:color w:val="000000"/>
                <w:szCs w:val="21"/>
                <w:lang w:val="en-US" w:eastAsia="zh-CN"/>
              </w:rPr>
              <w:t>3台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76" w:hRule="exact"/>
          <w:jc w:val="center"/>
        </w:trPr>
        <w:tc>
          <w:tcPr>
            <w:tcW w:w="874" w:type="dxa"/>
            <w:shd w:val="clear" w:color="000000" w:fill="FFFFFF"/>
            <w:noWrap w:val="0"/>
            <w:tcMar>
              <w:left w:w="108" w:type="dxa"/>
              <w:right w:w="108" w:type="dxa"/>
            </w:tcMar>
            <w:vAlign w:val="center"/>
          </w:tcPr>
          <w:p>
            <w:pPr>
              <w:jc w:val="center"/>
              <w:rPr>
                <w:color w:val="000000"/>
                <w:szCs w:val="21"/>
              </w:rPr>
            </w:pPr>
            <w:r>
              <w:rPr>
                <w:color w:val="000000"/>
                <w:spacing w:val="20"/>
                <w:szCs w:val="21"/>
              </w:rPr>
              <w:t>5</w:t>
            </w:r>
          </w:p>
        </w:tc>
        <w:tc>
          <w:tcPr>
            <w:tcW w:w="2302" w:type="dxa"/>
            <w:shd w:val="clear" w:color="000000" w:fill="FFFFFF"/>
            <w:noWrap w:val="0"/>
            <w:tcMar>
              <w:left w:w="108" w:type="dxa"/>
              <w:right w:w="108" w:type="dxa"/>
            </w:tcMar>
            <w:vAlign w:val="center"/>
          </w:tcPr>
          <w:p>
            <w:pPr>
              <w:jc w:val="center"/>
              <w:rPr>
                <w:rFonts w:ascii="??" w:hAnsi="??" w:eastAsia="宋体" w:cs="Times New Roman"/>
                <w:color w:val="000000"/>
                <w:kern w:val="2"/>
                <w:sz w:val="21"/>
                <w:szCs w:val="21"/>
                <w:shd w:val="clear" w:color="auto" w:fill="auto"/>
                <w:lang w:val="en-US" w:eastAsia="zh-CN" w:bidi="ar-SA"/>
              </w:rPr>
            </w:pPr>
            <w:r>
              <w:rPr>
                <w:rFonts w:hint="eastAsia"/>
                <w:color w:val="000000"/>
                <w:szCs w:val="21"/>
                <w:shd w:val="clear" w:color="auto" w:fill="auto"/>
              </w:rPr>
              <w:t>切割机</w:t>
            </w:r>
          </w:p>
        </w:tc>
        <w:tc>
          <w:tcPr>
            <w:tcW w:w="1981" w:type="dxa"/>
            <w:shd w:val="clear" w:color="000000" w:fill="FFFFFF"/>
            <w:noWrap w:val="0"/>
            <w:tcMar>
              <w:left w:w="108" w:type="dxa"/>
              <w:right w:w="108" w:type="dxa"/>
            </w:tcMar>
            <w:vAlign w:val="center"/>
          </w:tcPr>
          <w:p>
            <w:pPr>
              <w:jc w:val="center"/>
              <w:rPr>
                <w:rFonts w:ascii="??" w:hAnsi="??" w:eastAsia="宋体" w:cs="Times New Roman"/>
                <w:color w:val="000000"/>
                <w:kern w:val="2"/>
                <w:sz w:val="21"/>
                <w:szCs w:val="21"/>
                <w:shd w:val="clear" w:color="auto" w:fill="auto"/>
                <w:lang w:val="en-US" w:eastAsia="zh-CN" w:bidi="ar-SA"/>
              </w:rPr>
            </w:pPr>
            <w:r>
              <w:rPr>
                <w:rFonts w:hint="eastAsia"/>
                <w:color w:val="000000"/>
                <w:szCs w:val="21"/>
                <w:shd w:val="clear" w:color="auto" w:fill="auto"/>
              </w:rPr>
              <w:t>/</w:t>
            </w:r>
          </w:p>
        </w:tc>
        <w:tc>
          <w:tcPr>
            <w:tcW w:w="1653" w:type="dxa"/>
            <w:tcBorders>
              <w:right w:val="single" w:color="auto" w:sz="4" w:space="0"/>
            </w:tcBorders>
            <w:shd w:val="clear" w:color="000000" w:fill="FFFFFF"/>
            <w:noWrap w:val="0"/>
            <w:tcMar>
              <w:left w:w="108" w:type="dxa"/>
              <w:right w:w="108" w:type="dxa"/>
            </w:tcMar>
            <w:vAlign w:val="center"/>
          </w:tcPr>
          <w:p>
            <w:pPr>
              <w:pStyle w:val="48"/>
              <w:spacing w:line="240" w:lineRule="auto"/>
              <w:rPr>
                <w:rFonts w:ascii="Times New Roman" w:hAnsi="Times New Roman" w:eastAsia="宋体" w:cs="Times New Roman"/>
                <w:bCs/>
                <w:color w:val="000000"/>
                <w:spacing w:val="4"/>
                <w:kern w:val="2"/>
                <w:sz w:val="21"/>
                <w:szCs w:val="21"/>
                <w:shd w:val="clear" w:color="auto" w:fill="auto"/>
                <w:lang w:val="en-US" w:eastAsia="zh-CN" w:bidi="ar-SA"/>
              </w:rPr>
            </w:pPr>
            <w:r>
              <w:rPr>
                <w:rFonts w:hint="eastAsia" w:ascii="Times New Roman" w:hAnsi="Times New Roman" w:eastAsia="宋体"/>
                <w:color w:val="000000"/>
                <w:szCs w:val="21"/>
                <w:shd w:val="clear" w:color="auto" w:fill="auto"/>
              </w:rPr>
              <w:t>4</w:t>
            </w:r>
          </w:p>
        </w:tc>
        <w:tc>
          <w:tcPr>
            <w:tcW w:w="1648" w:type="dxa"/>
            <w:tcBorders>
              <w:left w:val="single" w:color="auto" w:sz="4" w:space="0"/>
            </w:tcBorders>
            <w:shd w:val="clear" w:color="000000" w:fill="FFFFFF"/>
            <w:noWrap w:val="0"/>
            <w:tcMar>
              <w:left w:w="108" w:type="dxa"/>
              <w:right w:w="108" w:type="dxa"/>
            </w:tcMar>
            <w:vAlign w:val="center"/>
          </w:tcPr>
          <w:p>
            <w:pPr>
              <w:jc w:val="center"/>
              <w:rPr>
                <w:szCs w:val="21"/>
              </w:rPr>
            </w:pPr>
            <w:r>
              <w:rPr>
                <w:rFonts w:hint="eastAsia"/>
                <w:color w:val="000000"/>
                <w:szCs w:val="21"/>
                <w:lang w:eastAsia="zh-CN"/>
              </w:rPr>
              <w:t>与环评一致</w:t>
            </w:r>
          </w:p>
        </w:tc>
      </w:tr>
    </w:tbl>
    <w:p>
      <w:pPr>
        <w:pStyle w:val="6"/>
        <w:rPr>
          <w:rFonts w:hint="default" w:ascii="Times New Roman" w:hAnsi="Times New Roman" w:eastAsia="宋体" w:cs="Times New Roman"/>
          <w:color w:val="000000"/>
        </w:rPr>
      </w:pPr>
      <w:bookmarkStart w:id="80" w:name="_Toc21246"/>
      <w:r>
        <w:rPr>
          <w:rFonts w:hint="default" w:ascii="Times New Roman" w:hAnsi="Times New Roman" w:eastAsia="宋体" w:cs="Times New Roman"/>
          <w:color w:val="000000"/>
        </w:rPr>
        <w:t>2.3 工艺流程</w:t>
      </w:r>
      <w:bookmarkEnd w:id="77"/>
      <w:bookmarkEnd w:id="78"/>
      <w:bookmarkEnd w:id="79"/>
      <w:bookmarkEnd w:id="80"/>
    </w:p>
    <w:p>
      <w:pPr>
        <w:keepNext w:val="0"/>
        <w:keepLines w:val="0"/>
        <w:pageBreakBefore w:val="0"/>
        <w:widowControl w:val="0"/>
        <w:kinsoku/>
        <w:wordWrap/>
        <w:overflowPunct/>
        <w:topLinePunct w:val="0"/>
        <w:autoSpaceDE/>
        <w:autoSpaceDN/>
        <w:bidi w:val="0"/>
        <w:adjustRightInd/>
        <w:snapToGrid/>
        <w:spacing w:after="313" w:afterLines="100" w:line="480" w:lineRule="atLeast"/>
        <w:ind w:left="0" w:leftChars="0" w:right="0" w:rightChars="0" w:firstLine="482" w:firstLineChars="0"/>
        <w:jc w:val="both"/>
        <w:textAlignment w:val="auto"/>
        <w:outlineLvl w:val="9"/>
        <w:rPr>
          <w:rFonts w:hint="default" w:ascii="Times New Roman" w:hAnsi="Times New Roman" w:eastAsia="宋体" w:cs="Times New Roman"/>
          <w:sz w:val="24"/>
          <w:szCs w:val="24"/>
        </w:rPr>
      </w:pPr>
      <w:r>
        <w:rPr>
          <w:rFonts w:eastAsia="楷体_GB2312"/>
          <w:b/>
          <w:color w:val="000000"/>
          <w:sz w:val="28"/>
          <w:shd w:val="clear" w:color="auto" w:fill="auto"/>
        </w:rPr>
        <mc:AlternateContent>
          <mc:Choice Requires="wpc">
            <w:drawing>
              <wp:anchor distT="0" distB="0" distL="114300" distR="114300" simplePos="0" relativeHeight="251659264" behindDoc="0" locked="0" layoutInCell="1" allowOverlap="1">
                <wp:simplePos x="0" y="0"/>
                <wp:positionH relativeFrom="column">
                  <wp:posOffset>250190</wp:posOffset>
                </wp:positionH>
                <wp:positionV relativeFrom="paragraph">
                  <wp:posOffset>274955</wp:posOffset>
                </wp:positionV>
                <wp:extent cx="5012690" cy="3191510"/>
                <wp:effectExtent l="0" t="0" r="0" b="0"/>
                <wp:wrapNone/>
                <wp:docPr id="59" name="画布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矩形 15"/>
                        <wps:cNvSpPr/>
                        <wps:spPr>
                          <a:xfrm>
                            <a:off x="392480" y="485872"/>
                            <a:ext cx="522036" cy="437602"/>
                          </a:xfrm>
                          <a:prstGeom prst="rect">
                            <a:avLst/>
                          </a:prstGeom>
                          <a:noFill/>
                          <a:ln>
                            <a:noFill/>
                          </a:ln>
                        </wps:spPr>
                        <wps:txbx>
                          <w:txbxContent>
                            <w:p>
                              <w:pPr>
                                <w:jc w:val="center"/>
                                <w:rPr>
                                  <w:rFonts w:hint="eastAsia"/>
                                </w:rPr>
                              </w:pPr>
                              <w:r>
                                <w:rPr>
                                  <w:rFonts w:hint="eastAsia"/>
                                </w:rPr>
                                <w:t>原料</w:t>
                              </w:r>
                            </w:p>
                          </w:txbxContent>
                        </wps:txbx>
                        <wps:bodyPr lIns="91439" tIns="45719" rIns="91439" bIns="45719" upright="1"/>
                      </wps:wsp>
                      <wps:wsp>
                        <wps:cNvPr id="16" name="矩形 16"/>
                        <wps:cNvSpPr/>
                        <wps:spPr>
                          <a:xfrm>
                            <a:off x="1470846" y="485872"/>
                            <a:ext cx="833861" cy="285807"/>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混料</w:t>
                              </w:r>
                            </w:p>
                          </w:txbxContent>
                        </wps:txbx>
                        <wps:bodyPr lIns="91439" tIns="45719" rIns="91439" bIns="45719" upright="1"/>
                      </wps:wsp>
                      <wps:wsp>
                        <wps:cNvPr id="19" name="直接连接符 19"/>
                        <wps:cNvCnPr/>
                        <wps:spPr>
                          <a:xfrm>
                            <a:off x="914516" y="635761"/>
                            <a:ext cx="556330" cy="1270"/>
                          </a:xfrm>
                          <a:prstGeom prst="line">
                            <a:avLst/>
                          </a:prstGeom>
                          <a:ln w="9525" cap="flat" cmpd="sng">
                            <a:solidFill>
                              <a:srgbClr val="000000"/>
                            </a:solidFill>
                            <a:prstDash val="solid"/>
                            <a:headEnd type="none" w="med" len="med"/>
                            <a:tailEnd type="triangle" w="sm" len="sm"/>
                          </a:ln>
                        </wps:spPr>
                        <wps:bodyPr upright="1"/>
                      </wps:wsp>
                      <wps:wsp>
                        <wps:cNvPr id="20" name="直接连接符 20"/>
                        <wps:cNvCnPr/>
                        <wps:spPr>
                          <a:xfrm>
                            <a:off x="2305342" y="626235"/>
                            <a:ext cx="485201" cy="635"/>
                          </a:xfrm>
                          <a:prstGeom prst="line">
                            <a:avLst/>
                          </a:prstGeom>
                          <a:ln w="9525" cap="flat" cmpd="sng">
                            <a:solidFill>
                              <a:srgbClr val="000000"/>
                            </a:solidFill>
                            <a:prstDash val="solid"/>
                            <a:headEnd type="none" w="med" len="med"/>
                            <a:tailEnd type="triangle" w="sm" len="sm"/>
                          </a:ln>
                        </wps:spPr>
                        <wps:bodyPr upright="1"/>
                      </wps:wsp>
                      <wps:wsp>
                        <wps:cNvPr id="21" name="矩形 21"/>
                        <wps:cNvSpPr/>
                        <wps:spPr>
                          <a:xfrm>
                            <a:off x="2790544" y="476345"/>
                            <a:ext cx="785595" cy="27882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上料</w:t>
                              </w:r>
                            </w:p>
                          </w:txbxContent>
                        </wps:txbx>
                        <wps:bodyPr lIns="91439" tIns="45719" rIns="91439" bIns="45719" upright="1"/>
                      </wps:wsp>
                      <wps:wsp>
                        <wps:cNvPr id="22" name="直接连接符 22"/>
                        <wps:cNvCnPr/>
                        <wps:spPr>
                          <a:xfrm>
                            <a:off x="3576138" y="616708"/>
                            <a:ext cx="405181" cy="635"/>
                          </a:xfrm>
                          <a:prstGeom prst="line">
                            <a:avLst/>
                          </a:prstGeom>
                          <a:ln w="9525" cap="flat" cmpd="sng">
                            <a:solidFill>
                              <a:srgbClr val="000000"/>
                            </a:solidFill>
                            <a:prstDash val="solid"/>
                            <a:headEnd type="none" w="med" len="med"/>
                            <a:tailEnd type="triangle" w="sm" len="sm"/>
                          </a:ln>
                        </wps:spPr>
                        <wps:bodyPr upright="1"/>
                      </wps:wsp>
                      <wps:wsp>
                        <wps:cNvPr id="23" name="矩形 23"/>
                        <wps:cNvSpPr/>
                        <wps:spPr>
                          <a:xfrm>
                            <a:off x="3971793" y="466818"/>
                            <a:ext cx="813538" cy="288347"/>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涂刮</w:t>
                              </w:r>
                            </w:p>
                            <w:p>
                              <w:pPr>
                                <w:jc w:val="center"/>
                                <w:rPr>
                                  <w:rFonts w:hint="eastAsia"/>
                                </w:rPr>
                              </w:pPr>
                            </w:p>
                          </w:txbxContent>
                        </wps:txbx>
                        <wps:bodyPr lIns="91439" tIns="45719" rIns="91439" bIns="45719" upright="1"/>
                      </wps:wsp>
                      <wps:wsp>
                        <wps:cNvPr id="38" name="矩形 38"/>
                        <wps:cNvSpPr/>
                        <wps:spPr>
                          <a:xfrm>
                            <a:off x="3981319" y="1171808"/>
                            <a:ext cx="804012" cy="288347"/>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塑化</w:t>
                              </w:r>
                            </w:p>
                          </w:txbxContent>
                        </wps:txbx>
                        <wps:bodyPr lIns="91439" tIns="45719" rIns="91439" bIns="45719" upright="1"/>
                      </wps:wsp>
                      <wps:wsp>
                        <wps:cNvPr id="41" name="矩形 41"/>
                        <wps:cNvSpPr/>
                        <wps:spPr>
                          <a:xfrm>
                            <a:off x="283881" y="1893312"/>
                            <a:ext cx="781784" cy="286442"/>
                          </a:xfrm>
                          <a:prstGeom prst="rect">
                            <a:avLst/>
                          </a:prstGeom>
                          <a:noFill/>
                          <a:ln>
                            <a:noFill/>
                          </a:ln>
                        </wps:spPr>
                        <wps:txbx>
                          <w:txbxContent>
                            <w:p>
                              <w:pPr>
                                <w:jc w:val="center"/>
                                <w:rPr>
                                  <w:rFonts w:hint="eastAsia"/>
                                </w:rPr>
                              </w:pPr>
                              <w:r>
                                <w:rPr>
                                  <w:rFonts w:hint="eastAsia"/>
                                </w:rPr>
                                <w:t>入库</w:t>
                              </w:r>
                            </w:p>
                          </w:txbxContent>
                        </wps:txbx>
                        <wps:bodyPr lIns="91439" tIns="45719" rIns="91439" bIns="45719" upright="1"/>
                      </wps:wsp>
                      <wps:wsp>
                        <wps:cNvPr id="42" name="文本框 42"/>
                        <wps:cNvSpPr txBox="1"/>
                        <wps:spPr>
                          <a:xfrm>
                            <a:off x="1968749" y="2683409"/>
                            <a:ext cx="2989959" cy="285807"/>
                          </a:xfrm>
                          <a:prstGeom prst="rect">
                            <a:avLst/>
                          </a:prstGeom>
                          <a:noFill/>
                          <a:ln>
                            <a:noFill/>
                          </a:ln>
                        </wps:spPr>
                        <wps:txbx>
                          <w:txbxContent>
                            <w:p>
                              <w:pPr>
                                <w:rPr>
                                  <w:rFonts w:ascii="方正舒体" w:eastAsia="方正舒体"/>
                                  <w:sz w:val="24"/>
                                </w:rPr>
                              </w:pPr>
                              <w:r>
                                <w:rPr>
                                  <w:rFonts w:eastAsia="仿宋_GB2312"/>
                                  <w:sz w:val="24"/>
                                </w:rPr>
                                <w:t>W废</w:t>
                              </w:r>
                              <w:r>
                                <w:rPr>
                                  <w:rFonts w:hint="eastAsia" w:eastAsia="仿宋_GB2312"/>
                                  <w:sz w:val="24"/>
                                </w:rPr>
                                <w:t xml:space="preserve">水    </w:t>
                              </w:r>
                              <w:r>
                                <w:rPr>
                                  <w:rFonts w:eastAsia="楷体_GB2312"/>
                                  <w:sz w:val="24"/>
                                </w:rPr>
                                <w:t>G</w:t>
                              </w:r>
                              <w:r>
                                <w:rPr>
                                  <w:rFonts w:hint="eastAsia" w:ascii="仿宋_GB2312" w:eastAsia="仿宋_GB2312"/>
                                  <w:sz w:val="24"/>
                                </w:rPr>
                                <w:t xml:space="preserve">废气    </w:t>
                              </w:r>
                              <w:r>
                                <w:rPr>
                                  <w:rFonts w:eastAsia="方正舒体"/>
                                  <w:sz w:val="24"/>
                                </w:rPr>
                                <w:t>N</w:t>
                              </w:r>
                              <w:r>
                                <w:rPr>
                                  <w:rFonts w:hint="eastAsia" w:ascii="仿宋_GB2312" w:eastAsia="仿宋_GB2312"/>
                                  <w:sz w:val="24"/>
                                </w:rPr>
                                <w:t xml:space="preserve">噪声    </w:t>
                              </w:r>
                              <w:r>
                                <w:rPr>
                                  <w:rFonts w:eastAsia="方正舒体"/>
                                  <w:sz w:val="24"/>
                                </w:rPr>
                                <w:t>S</w:t>
                              </w:r>
                              <w:r>
                                <w:rPr>
                                  <w:rFonts w:hint="eastAsia" w:ascii="仿宋_GB2312" w:eastAsia="仿宋_GB2312"/>
                                  <w:sz w:val="24"/>
                                </w:rPr>
                                <w:t>固废</w:t>
                              </w:r>
                            </w:p>
                            <w:p>
                              <w:pPr>
                                <w:jc w:val="center"/>
                                <w:rPr>
                                  <w:rFonts w:hint="eastAsia"/>
                                </w:rPr>
                              </w:pPr>
                            </w:p>
                          </w:txbxContent>
                        </wps:txbx>
                        <wps:bodyPr lIns="91439" tIns="45719" rIns="91439" bIns="45719" upright="1"/>
                      </wps:wsp>
                      <wps:wsp>
                        <wps:cNvPr id="43" name="文本框 43"/>
                        <wps:cNvSpPr txBox="1"/>
                        <wps:spPr>
                          <a:xfrm>
                            <a:off x="1470846" y="278185"/>
                            <a:ext cx="920232" cy="285172"/>
                          </a:xfrm>
                          <a:prstGeom prst="rect">
                            <a:avLst/>
                          </a:prstGeom>
                          <a:noFill/>
                          <a:ln>
                            <a:noFill/>
                          </a:ln>
                        </wps:spPr>
                        <wps:txbx>
                          <w:txbxContent>
                            <w:p>
                              <w:pPr>
                                <w:jc w:val="center"/>
                                <w:rPr>
                                  <w:rFonts w:hint="eastAsia"/>
                                </w:rPr>
                              </w:pPr>
                              <w:r>
                                <w:rPr>
                                  <w:rFonts w:hint="eastAsia"/>
                                </w:rPr>
                                <w:t>N1</w:t>
                              </w:r>
                            </w:p>
                            <w:p>
                              <w:pPr>
                                <w:jc w:val="center"/>
                                <w:rPr>
                                  <w:rFonts w:hint="eastAsia"/>
                                </w:rPr>
                              </w:pPr>
                              <w:r>
                                <w:rPr>
                                  <w:rFonts w:hint="eastAsia"/>
                                </w:rPr>
                                <w:t>1</w:t>
                              </w:r>
                            </w:p>
                          </w:txbxContent>
                        </wps:txbx>
                        <wps:bodyPr lIns="91439" tIns="45719" rIns="91439" bIns="45719" upright="1"/>
                      </wps:wsp>
                      <wps:wsp>
                        <wps:cNvPr id="45" name="文本框 45"/>
                        <wps:cNvSpPr txBox="1"/>
                        <wps:spPr>
                          <a:xfrm>
                            <a:off x="4188991" y="923474"/>
                            <a:ext cx="652863" cy="294699"/>
                          </a:xfrm>
                          <a:prstGeom prst="rect">
                            <a:avLst/>
                          </a:prstGeom>
                          <a:noFill/>
                          <a:ln>
                            <a:noFill/>
                          </a:ln>
                        </wps:spPr>
                        <wps:txbx>
                          <w:txbxContent>
                            <w:p>
                              <w:pPr>
                                <w:jc w:val="center"/>
                              </w:pPr>
                              <w:r>
                                <w:rPr>
                                  <w:rFonts w:hint="eastAsia"/>
                                </w:rPr>
                                <w:t>G1、N2</w:t>
                              </w:r>
                            </w:p>
                          </w:txbxContent>
                        </wps:txbx>
                        <wps:bodyPr lIns="91439" tIns="45719" rIns="91439" bIns="45719" upright="1"/>
                      </wps:wsp>
                      <wps:wsp>
                        <wps:cNvPr id="46" name="文本框 46"/>
                        <wps:cNvSpPr txBox="1"/>
                        <wps:spPr>
                          <a:xfrm>
                            <a:off x="1598497" y="923474"/>
                            <a:ext cx="574113" cy="290253"/>
                          </a:xfrm>
                          <a:prstGeom prst="rect">
                            <a:avLst/>
                          </a:prstGeom>
                          <a:noFill/>
                          <a:ln>
                            <a:noFill/>
                          </a:ln>
                        </wps:spPr>
                        <wps:txbx>
                          <w:txbxContent>
                            <w:p>
                              <w:pPr>
                                <w:jc w:val="center"/>
                                <w:rPr>
                                  <w:rFonts w:hint="eastAsia"/>
                                </w:rPr>
                              </w:pPr>
                              <w:r>
                                <w:rPr>
                                  <w:rFonts w:hint="eastAsia"/>
                                </w:rPr>
                                <w:t>S1、N3</w:t>
                              </w:r>
                            </w:p>
                          </w:txbxContent>
                        </wps:txbx>
                        <wps:bodyPr lIns="91439" tIns="45719" rIns="91439" bIns="45719" upright="1"/>
                      </wps:wsp>
                      <wps:wsp>
                        <wps:cNvPr id="47" name="文本框 47"/>
                        <wps:cNvSpPr txBox="1"/>
                        <wps:spPr>
                          <a:xfrm>
                            <a:off x="392480" y="2734854"/>
                            <a:ext cx="790040" cy="285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办公生活</w:t>
                              </w:r>
                            </w:p>
                          </w:txbxContent>
                        </wps:txbx>
                        <wps:bodyPr lIns="91439" tIns="45719" rIns="91439" bIns="45719" upright="1"/>
                      </wps:wsp>
                      <wps:wsp>
                        <wps:cNvPr id="48" name="文本框 48"/>
                        <wps:cNvSpPr txBox="1"/>
                        <wps:spPr>
                          <a:xfrm>
                            <a:off x="392480" y="2448412"/>
                            <a:ext cx="771623" cy="286442"/>
                          </a:xfrm>
                          <a:prstGeom prst="rect">
                            <a:avLst/>
                          </a:prstGeom>
                          <a:noFill/>
                          <a:ln>
                            <a:noFill/>
                          </a:ln>
                        </wps:spPr>
                        <wps:txbx>
                          <w:txbxContent>
                            <w:p>
                              <w:pPr>
                                <w:jc w:val="center"/>
                                <w:rPr>
                                  <w:rFonts w:hint="eastAsia"/>
                                </w:rPr>
                              </w:pPr>
                              <w:r>
                                <w:rPr>
                                  <w:rFonts w:hint="eastAsia"/>
                                </w:rPr>
                                <w:t>W1、S2</w:t>
                              </w:r>
                            </w:p>
                          </w:txbxContent>
                        </wps:txbx>
                        <wps:bodyPr lIns="91439" tIns="45719" rIns="91439" bIns="45719" upright="1"/>
                      </wps:wsp>
                      <wps:wsp>
                        <wps:cNvPr id="49" name="直接箭头连接符 49"/>
                        <wps:cNvCnPr/>
                        <wps:spPr>
                          <a:xfrm>
                            <a:off x="4305845" y="762152"/>
                            <a:ext cx="0" cy="409657"/>
                          </a:xfrm>
                          <a:prstGeom prst="straightConnector1">
                            <a:avLst/>
                          </a:prstGeom>
                          <a:ln w="9525" cap="flat" cmpd="sng">
                            <a:solidFill>
                              <a:srgbClr val="000000"/>
                            </a:solidFill>
                            <a:prstDash val="solid"/>
                            <a:headEnd type="none" w="med" len="med"/>
                            <a:tailEnd type="triangle" w="sm" len="sm"/>
                          </a:ln>
                        </wps:spPr>
                        <wps:bodyPr/>
                      </wps:wsp>
                      <wps:wsp>
                        <wps:cNvPr id="50" name="直接箭头连接符 50"/>
                        <wps:cNvCnPr/>
                        <wps:spPr>
                          <a:xfrm flipH="1">
                            <a:off x="3576138" y="1315982"/>
                            <a:ext cx="405181" cy="4446"/>
                          </a:xfrm>
                          <a:prstGeom prst="straightConnector1">
                            <a:avLst/>
                          </a:prstGeom>
                          <a:ln w="9525" cap="flat" cmpd="sng">
                            <a:solidFill>
                              <a:srgbClr val="000000"/>
                            </a:solidFill>
                            <a:prstDash val="solid"/>
                            <a:headEnd type="none" w="med" len="med"/>
                            <a:tailEnd type="triangle" w="sm" len="sm"/>
                          </a:ln>
                        </wps:spPr>
                        <wps:bodyPr/>
                      </wps:wsp>
                      <wps:wsp>
                        <wps:cNvPr id="51" name="直接箭头连接符 51"/>
                        <wps:cNvCnPr/>
                        <wps:spPr>
                          <a:xfrm flipH="1">
                            <a:off x="2305342" y="1322968"/>
                            <a:ext cx="485201" cy="0"/>
                          </a:xfrm>
                          <a:prstGeom prst="straightConnector1">
                            <a:avLst/>
                          </a:prstGeom>
                          <a:ln w="9525" cap="flat" cmpd="sng">
                            <a:solidFill>
                              <a:srgbClr val="000000"/>
                            </a:solidFill>
                            <a:prstDash val="solid"/>
                            <a:headEnd type="none" w="med" len="med"/>
                            <a:tailEnd type="triangle" w="sm" len="sm"/>
                          </a:ln>
                        </wps:spPr>
                        <wps:bodyPr/>
                      </wps:wsp>
                      <wps:wsp>
                        <wps:cNvPr id="52" name="直接箭头连接符 52"/>
                        <wps:cNvCnPr/>
                        <wps:spPr>
                          <a:xfrm flipH="1">
                            <a:off x="1058679" y="1311536"/>
                            <a:ext cx="461703" cy="635"/>
                          </a:xfrm>
                          <a:prstGeom prst="straightConnector1">
                            <a:avLst/>
                          </a:prstGeom>
                          <a:ln w="9525" cap="flat" cmpd="sng">
                            <a:solidFill>
                              <a:srgbClr val="000000"/>
                            </a:solidFill>
                            <a:prstDash val="solid"/>
                            <a:headEnd type="none" w="med" len="med"/>
                            <a:tailEnd type="triangle" w="sm" len="sm"/>
                          </a:ln>
                        </wps:spPr>
                        <wps:bodyPr/>
                      </wps:wsp>
                      <wps:wsp>
                        <wps:cNvPr id="53" name="矩形 53"/>
                        <wps:cNvSpPr/>
                        <wps:spPr>
                          <a:xfrm>
                            <a:off x="273085" y="1171808"/>
                            <a:ext cx="785595" cy="27818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收卷</w:t>
                              </w:r>
                            </w:p>
                          </w:txbxContent>
                        </wps:txbx>
                        <wps:bodyPr lIns="91439" tIns="45719" rIns="91439" bIns="45719" upright="1"/>
                      </wps:wsp>
                      <wps:wsp>
                        <wps:cNvPr id="54" name="矩形 54"/>
                        <wps:cNvSpPr/>
                        <wps:spPr>
                          <a:xfrm>
                            <a:off x="1520383" y="1171808"/>
                            <a:ext cx="784959" cy="27882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切割</w:t>
                              </w:r>
                            </w:p>
                          </w:txbxContent>
                        </wps:txbx>
                        <wps:bodyPr lIns="91439" tIns="45719" rIns="91439" bIns="45719" upright="1"/>
                      </wps:wsp>
                      <wps:wsp>
                        <wps:cNvPr id="55" name="矩形 55"/>
                        <wps:cNvSpPr/>
                        <wps:spPr>
                          <a:xfrm>
                            <a:off x="2790544" y="1180700"/>
                            <a:ext cx="785595" cy="279456"/>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冷却</w:t>
                              </w:r>
                            </w:p>
                          </w:txbxContent>
                        </wps:txbx>
                        <wps:bodyPr lIns="91439" tIns="45719" rIns="91439" bIns="45719" upright="1"/>
                      </wps:wsp>
                      <wps:wsp>
                        <wps:cNvPr id="56" name="直接箭头连接符 56"/>
                        <wps:cNvCnPr/>
                        <wps:spPr>
                          <a:xfrm>
                            <a:off x="666199" y="1449993"/>
                            <a:ext cx="8891" cy="443318"/>
                          </a:xfrm>
                          <a:prstGeom prst="straightConnector1">
                            <a:avLst/>
                          </a:prstGeom>
                          <a:ln w="9525" cap="flat" cmpd="sng">
                            <a:solidFill>
                              <a:srgbClr val="000000"/>
                            </a:solidFill>
                            <a:prstDash val="solid"/>
                            <a:headEnd type="none" w="med" len="med"/>
                            <a:tailEnd type="triangle" w="sm" len="med"/>
                          </a:ln>
                        </wps:spPr>
                        <wps:bodyPr/>
                      </wps:wsp>
                      <wps:wsp>
                        <wps:cNvPr id="57" name="直接箭头连接符 57"/>
                        <wps:cNvCnPr/>
                        <wps:spPr>
                          <a:xfrm flipH="1">
                            <a:off x="4305845" y="215943"/>
                            <a:ext cx="3810" cy="269929"/>
                          </a:xfrm>
                          <a:prstGeom prst="straightConnector1">
                            <a:avLst/>
                          </a:prstGeom>
                          <a:ln w="9525" cap="flat" cmpd="sng">
                            <a:solidFill>
                              <a:srgbClr val="000000"/>
                            </a:solidFill>
                            <a:prstDash val="solid"/>
                            <a:headEnd type="none" w="med" len="med"/>
                            <a:tailEnd type="triangle" w="sm" len="med"/>
                          </a:ln>
                        </wps:spPr>
                        <wps:bodyPr/>
                      </wps:wsp>
                      <wps:wsp>
                        <wps:cNvPr id="58" name="矩形 58"/>
                        <wps:cNvSpPr/>
                        <wps:spPr>
                          <a:xfrm>
                            <a:off x="3936864" y="0"/>
                            <a:ext cx="774798" cy="279456"/>
                          </a:xfrm>
                          <a:prstGeom prst="rect">
                            <a:avLst/>
                          </a:prstGeom>
                          <a:noFill/>
                          <a:ln>
                            <a:noFill/>
                          </a:ln>
                        </wps:spPr>
                        <wps:txbx>
                          <w:txbxContent>
                            <w:p>
                              <w:pPr>
                                <w:jc w:val="center"/>
                                <w:rPr>
                                  <w:rFonts w:hint="eastAsia"/>
                                </w:rPr>
                              </w:pPr>
                              <w:r>
                                <w:rPr>
                                  <w:rFonts w:hint="eastAsia"/>
                                </w:rPr>
                                <w:t>面毯</w:t>
                              </w:r>
                            </w:p>
                          </w:txbxContent>
                        </wps:txbx>
                        <wps:bodyPr lIns="91439" tIns="45719" rIns="91439" bIns="45719" upright="1"/>
                      </wps:wsp>
                    </wpc:wpc>
                  </a:graphicData>
                </a:graphic>
              </wp:anchor>
            </w:drawing>
          </mc:Choice>
          <mc:Fallback>
            <w:pict>
              <v:group id="_x0000_s1026" o:spid="_x0000_s1026" o:spt="203" style="position:absolute;left:0pt;margin-left:19.7pt;margin-top:21.65pt;height:251.3pt;width:394.7pt;z-index:251659264;mso-width-relative:page;mso-height-relative:page;" coordsize="5012690,3191510" editas="canvas" o:gfxdata="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">
                <o:lock v:ext="edit" aspectratio="f"/>
                <v:shape id="_x0000_s1026" o:spid="_x0000_s1026" style="position:absolute;left:0;top:0;height:3191510;width:5012690;" filled="f" stroked="f" coordsize="21600,21600" o:gfxdata="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">
                  <v:fill on="f" focussize="0,0"/>
                  <v:stroke on="f"/>
                  <v:imagedata o:title=""/>
                  <o:lock v:ext="edit" aspectratio="t"/>
                </v:shape>
                <v:rect id="_x0000_s1026" o:spid="_x0000_s1026" o:spt="1" style="position:absolute;left:392480;top:485872;height:437602;width:522036;" filled="f" stroked="f" coordsize="21600,21600" o:gfxdata="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Z9bFtkAAAAJAQAADwAAAAAAAAABACAAAAAiAAAAZHJzL2Rvd25y&#10;ZXYueG1sUEsBAhQAFAAAAAgAh07iQCB359jEAQAAgAMAAA4AAAAAAAAAAQAgAAAAKA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原料</w:t>
                        </w:r>
                      </w:p>
                    </w:txbxContent>
                  </v:textbox>
                </v:rect>
                <v:rect id="_x0000_s1026" o:spid="_x0000_s1026" o:spt="1" style="position:absolute;left:1470846;top:485872;height:285807;width:833861;" filled="f" stroked="t" coordsize="21600,21600" o:gfxdata="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B+g92AAA&#10;AAkBAAAPAAAAAAAAAAEAIAAAACIAAABkcnMvZG93bnJldi54bWxQSwECFAAUAAAACACHTuJAMsXs&#10;5B4CAABABAAADgAAAAAAAAABACAAAAAnAQAAZHJzL2Uyb0RvYy54bWxQSwUGAAAAAAYABgBZAQAA&#10;twUAAAAA&#10;">
                  <v:fill on="f" focussize="0,0"/>
                  <v:stroke color="#000000" joinstyle="miter"/>
                  <v:imagedata o:title=""/>
                  <o:lock v:ext="edit" aspectratio="f"/>
                  <v:textbox inset="7.19992125984252pt,3.59992125984252pt,7.19992125984252pt,3.59992125984252pt">
                    <w:txbxContent>
                      <w:p>
                        <w:pPr>
                          <w:jc w:val="center"/>
                          <w:rPr>
                            <w:rFonts w:hint="eastAsia"/>
                          </w:rPr>
                        </w:pPr>
                        <w:r>
                          <w:rPr>
                            <w:rFonts w:hint="eastAsia"/>
                          </w:rPr>
                          <w:t>混料</w:t>
                        </w:r>
                      </w:p>
                    </w:txbxContent>
                  </v:textbox>
                </v:rect>
                <v:line id="_x0000_s1026" o:spid="_x0000_s1026" o:spt="20" style="position:absolute;left:914516;top:635761;height:1270;width:556330;" filled="f" stroked="t" coordsize="21600,21600" o:gfxdata="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xKT6dkAAAAJAQAADwAAAAAAAAAB&#10;ACAAAAAiAAAAZHJzL2Rvd25yZXYueG1sUEsBAhQAFAAAAAgAh07iQM+L/7sPAgAA9AMAAA4AAAAA&#10;AAAAAQAgAAAAKAEAAGRycy9lMm9Eb2MueG1sUEsFBgAAAAAGAAYAWQEAAKkFAAAAAA==&#10;">
                  <v:fill on="f" focussize="0,0"/>
                  <v:stroke color="#000000" joinstyle="round" endarrow="block" endarrowwidth="narrow" endarrowlength="short"/>
                  <v:imagedata o:title=""/>
                  <o:lock v:ext="edit" aspectratio="f"/>
                </v:line>
                <v:line id="_x0000_s1026" o:spid="_x0000_s1026" o:spt="20" style="position:absolute;left:2305342;top:626235;height:635;width:485201;" filled="f" stroked="t" coordsize="21600,21600" o:gfxdata="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xKT6dkAAAAJAQAADwAAAAAAAAABACAA&#10;AAAiAAAAZHJzL2Rvd25yZXYueG1sUEsBAhQAFAAAAAgAh07iQKiXGWkMAgAA9AMAAA4AAAAAAAAA&#10;AQAgAAAAKAEAAGRycy9lMm9Eb2MueG1sUEsFBgAAAAAGAAYAWQEAAKYFAAAAAA==&#10;">
                  <v:fill on="f" focussize="0,0"/>
                  <v:stroke color="#000000" joinstyle="round" endarrow="block" endarrowwidth="narrow" endarrowlength="short"/>
                  <v:imagedata o:title=""/>
                  <o:lock v:ext="edit" aspectratio="f"/>
                </v:line>
                <v:rect id="_x0000_s1026" o:spid="_x0000_s1026" o:spt="1" style="position:absolute;left:2790544;top:476345;height:278820;width:785595;" filled="f" stroked="t" coordsize="21600,21600" o:gfxdata="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Afo&#10;PdgAAAAJAQAADwAAAAAAAAABACAAAAAiAAAAZHJzL2Rvd25yZXYueG1sUEsBAhQAFAAAAAgAh07i&#10;QO8KlgsiAgAAQA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jc w:val="center"/>
                          <w:rPr>
                            <w:rFonts w:hint="eastAsia"/>
                          </w:rPr>
                        </w:pPr>
                        <w:r>
                          <w:rPr>
                            <w:rFonts w:hint="eastAsia"/>
                          </w:rPr>
                          <w:t>上料</w:t>
                        </w:r>
                      </w:p>
                    </w:txbxContent>
                  </v:textbox>
                </v:rect>
                <v:line id="_x0000_s1026" o:spid="_x0000_s1026" o:spt="20" style="position:absolute;left:3576138;top:616708;height:635;width:405181;" filled="f" stroked="t" coordsize="21600,21600" o:gfxdata="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EpPp2QAAAAkBAAAPAAAAAAAAAAEA&#10;IAAAACIAAABkcnMvZG93bnJldi54bWxQSwECFAAUAAAACACHTuJAfRKAnQ4CAAD0AwAADgAAAAAA&#10;AAABACAAAAAoAQAAZHJzL2Uyb0RvYy54bWxQSwUGAAAAAAYABgBZAQAAqAUAAAAA&#10;">
                  <v:fill on="f" focussize="0,0"/>
                  <v:stroke color="#000000" joinstyle="round" endarrow="block" endarrowwidth="narrow" endarrowlength="short"/>
                  <v:imagedata o:title=""/>
                  <o:lock v:ext="edit" aspectratio="f"/>
                </v:line>
                <v:rect id="_x0000_s1026" o:spid="_x0000_s1026" o:spt="1" style="position:absolute;left:3971793;top:466818;height:288347;width:813538;" filled="f" stroked="t" coordsize="21600,21600" o:gfxdata="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YB+g9&#10;2AAAAAkBAAAPAAAAAAAAAAEAIAAAACIAAABkcnMvZG93bnJldi54bWxQSwECFAAUAAAACACHTuJA&#10;3dlvISECAABA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jc w:val="center"/>
                          <w:rPr>
                            <w:rFonts w:hint="eastAsia"/>
                          </w:rPr>
                        </w:pPr>
                        <w:r>
                          <w:rPr>
                            <w:rFonts w:hint="eastAsia"/>
                          </w:rPr>
                          <w:t>涂刮</w:t>
                        </w:r>
                      </w:p>
                      <w:p>
                        <w:pPr>
                          <w:jc w:val="center"/>
                          <w:rPr>
                            <w:rFonts w:hint="eastAsia"/>
                          </w:rPr>
                        </w:pPr>
                      </w:p>
                    </w:txbxContent>
                  </v:textbox>
                </v:rect>
                <v:rect id="_x0000_s1026" o:spid="_x0000_s1026" o:spt="1" style="position:absolute;left:3981319;top:1171808;height:288347;width:804012;" filled="f" stroked="t" coordsize="21600,21600" o:gfxdata="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Afo&#10;PdgAAAAJAQAADwAAAAAAAAABACAAAAAiAAAAZHJzL2Rvd25yZXYueG1sUEsBAhQAFAAAAAgAh07i&#10;QKMTPGciAgAAQQ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jc w:val="center"/>
                          <w:rPr>
                            <w:rFonts w:hint="eastAsia"/>
                          </w:rPr>
                        </w:pPr>
                        <w:r>
                          <w:rPr>
                            <w:rFonts w:hint="eastAsia"/>
                          </w:rPr>
                          <w:t>塑化</w:t>
                        </w:r>
                      </w:p>
                    </w:txbxContent>
                  </v:textbox>
                </v:rect>
                <v:rect id="_x0000_s1026" o:spid="_x0000_s1026" o:spt="1" style="position:absolute;left:283881;top:1893312;height:286442;width:781784;" filled="f" stroked="f" coordsize="21600,21600" o:gfxdata="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pn1sW2QAAAAkBAAAPAAAAAAAAAAEAIAAAACIAAABkcnMvZG93&#10;bnJldi54bWxQSwECFAAUAAAACACHTuJAifNAPsYBAACBAwAADgAAAAAAAAABACAAAAAo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入库</w:t>
                        </w:r>
                      </w:p>
                    </w:txbxContent>
                  </v:textbox>
                </v:rect>
                <v:shape id="_x0000_s1026" o:spid="_x0000_s1026" o:spt="202" type="#_x0000_t202" style="position:absolute;left:1968749;top:2683409;height:285807;width:2989959;" filled="f" stroked="f" coordsize="21600,21600" o:gfxdata="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OqANdgAAAAJAQAADwAAAAAAAAABACAAAAAi&#10;AAAAZHJzL2Rvd25yZXYueG1sUEsBAhQAFAAAAAgAh07iQDDkz17RAQAAkAMAAA4AAAAAAAAAAQAg&#10;AAAAJwEAAGRycy9lMm9Eb2MueG1sUEsFBgAAAAAGAAYAWQEAAGoFAAAAAA==&#10;">
                  <v:fill on="f" focussize="0,0"/>
                  <v:stroke on="f"/>
                  <v:imagedata o:title=""/>
                  <o:lock v:ext="edit" aspectratio="f"/>
                  <v:textbox inset="7.19992125984252pt,3.59992125984252pt,7.19992125984252pt,3.59992125984252pt">
                    <w:txbxContent>
                      <w:p>
                        <w:pPr>
                          <w:rPr>
                            <w:rFonts w:ascii="方正舒体" w:eastAsia="方正舒体"/>
                            <w:sz w:val="24"/>
                          </w:rPr>
                        </w:pPr>
                        <w:r>
                          <w:rPr>
                            <w:rFonts w:eastAsia="仿宋_GB2312"/>
                            <w:sz w:val="24"/>
                          </w:rPr>
                          <w:t>W废</w:t>
                        </w:r>
                        <w:r>
                          <w:rPr>
                            <w:rFonts w:hint="eastAsia" w:eastAsia="仿宋_GB2312"/>
                            <w:sz w:val="24"/>
                          </w:rPr>
                          <w:t xml:space="preserve">水    </w:t>
                        </w:r>
                        <w:r>
                          <w:rPr>
                            <w:rFonts w:eastAsia="楷体_GB2312"/>
                            <w:sz w:val="24"/>
                          </w:rPr>
                          <w:t>G</w:t>
                        </w:r>
                        <w:r>
                          <w:rPr>
                            <w:rFonts w:hint="eastAsia" w:ascii="仿宋_GB2312" w:eastAsia="仿宋_GB2312"/>
                            <w:sz w:val="24"/>
                          </w:rPr>
                          <w:t xml:space="preserve">废气    </w:t>
                        </w:r>
                        <w:r>
                          <w:rPr>
                            <w:rFonts w:eastAsia="方正舒体"/>
                            <w:sz w:val="24"/>
                          </w:rPr>
                          <w:t>N</w:t>
                        </w:r>
                        <w:r>
                          <w:rPr>
                            <w:rFonts w:hint="eastAsia" w:ascii="仿宋_GB2312" w:eastAsia="仿宋_GB2312"/>
                            <w:sz w:val="24"/>
                          </w:rPr>
                          <w:t xml:space="preserve">噪声    </w:t>
                        </w:r>
                        <w:r>
                          <w:rPr>
                            <w:rFonts w:eastAsia="方正舒体"/>
                            <w:sz w:val="24"/>
                          </w:rPr>
                          <w:t>S</w:t>
                        </w:r>
                        <w:r>
                          <w:rPr>
                            <w:rFonts w:hint="eastAsia" w:ascii="仿宋_GB2312" w:eastAsia="仿宋_GB2312"/>
                            <w:sz w:val="24"/>
                          </w:rPr>
                          <w:t>固废</w:t>
                        </w:r>
                      </w:p>
                      <w:p>
                        <w:pPr>
                          <w:jc w:val="center"/>
                          <w:rPr>
                            <w:rFonts w:hint="eastAsia"/>
                          </w:rPr>
                        </w:pPr>
                      </w:p>
                    </w:txbxContent>
                  </v:textbox>
                </v:shape>
                <v:shape id="_x0000_s1026" o:spid="_x0000_s1026" o:spt="202" type="#_x0000_t202" style="position:absolute;left:1470846;top:278185;height:285172;width:920232;" filled="f" stroked="f" coordsize="21600,21600" o:gfxdata="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U6oA12AAAAAkBAAAPAAAAAAAAAAEAIAAAACIA&#10;AABkcnMvZG93bnJldi54bWxQSwECFAAUAAAACACHTuJAylpaAtABAACO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N1</w:t>
                        </w:r>
                      </w:p>
                      <w:p>
                        <w:pPr>
                          <w:jc w:val="center"/>
                          <w:rPr>
                            <w:rFonts w:hint="eastAsia"/>
                          </w:rPr>
                        </w:pPr>
                        <w:r>
                          <w:rPr>
                            <w:rFonts w:hint="eastAsia"/>
                          </w:rPr>
                          <w:t>1</w:t>
                        </w:r>
                      </w:p>
                    </w:txbxContent>
                  </v:textbox>
                </v:shape>
                <v:shape id="_x0000_s1026" o:spid="_x0000_s1026" o:spt="202" type="#_x0000_t202" style="position:absolute;left:4188991;top:923474;height:294699;width:652863;" filled="f" stroked="f" coordsize="21600,21600" o:gfxdata="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OqANdgAAAAJAQAADwAAAAAAAAABACAAAAAi&#10;AAAAZHJzL2Rvd25yZXYueG1sUEsBAhQAFAAAAAgAh07iQAG4KnHRAQAAjg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pPr>
                        <w:r>
                          <w:rPr>
                            <w:rFonts w:hint="eastAsia"/>
                          </w:rPr>
                          <w:t>G1、N2</w:t>
                        </w:r>
                      </w:p>
                    </w:txbxContent>
                  </v:textbox>
                </v:shape>
                <v:shape id="_x0000_s1026" o:spid="_x0000_s1026" o:spt="202" type="#_x0000_t202" style="position:absolute;left:1598497;top:923474;height:290253;width:574113;" filled="f" stroked="f" coordsize="21600,21600" o:gfxdata="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U6oA12AAAAAkBAAAPAAAAAAAAAAEAIAAAACIA&#10;AABkcnMvZG93bnJldi54bWxQSwECFAAUAAAACACHTuJAVNcjhdABAACO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S1、N3</w:t>
                        </w:r>
                      </w:p>
                    </w:txbxContent>
                  </v:textbox>
                </v:shape>
                <v:shape id="_x0000_s1026" o:spid="_x0000_s1026" o:spt="202" type="#_x0000_t202" style="position:absolute;left:392480;top:2734854;height:285807;width:790040;" fillcolor="#FFFFFF" filled="t" stroked="t" coordsize="21600,21600" o:gfxdata="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2ysx7ZAAAACQEAAA8AAAAAAAAAAQAgAAAAIgAAAGRycy9kb3ducmV2Lnht&#10;bFBLAQIUABQAAAAIAIdO4kBm0MltMQIAAHYEAAAOAAAAAAAAAAEAIAAAACgBAABkcnMvZTJvRG9j&#10;LnhtbFBLBQYAAAAABgAGAFkBAADLBQAAAAA=&#10;">
                  <v:fill on="t" focussize="0,0"/>
                  <v:stroke color="#000000" joinstyle="miter"/>
                  <v:imagedata o:title=""/>
                  <o:lock v:ext="edit" aspectratio="f"/>
                  <v:textbox inset="7.19992125984252pt,3.59992125984252pt,7.19992125984252pt,3.59992125984252pt">
                    <w:txbxContent>
                      <w:p>
                        <w:pPr>
                          <w:jc w:val="center"/>
                          <w:rPr>
                            <w:rFonts w:hint="eastAsia"/>
                          </w:rPr>
                        </w:pPr>
                        <w:r>
                          <w:rPr>
                            <w:rFonts w:hint="eastAsia"/>
                          </w:rPr>
                          <w:t>办公生活</w:t>
                        </w:r>
                      </w:p>
                    </w:txbxContent>
                  </v:textbox>
                </v:shape>
                <v:shape id="_x0000_s1026" o:spid="_x0000_s1026" o:spt="202" type="#_x0000_t202" style="position:absolute;left:392480;top:2448412;height:286442;width:771623;" filled="f" stroked="f" coordsize="21600,21600" o:gfxdata="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TqgDXYAAAACQEAAA8AAAAAAAAAAQAgAAAAIgAA&#10;AGRycy9kb3ducmV2LnhtbFBLAQIUABQAAAAIAIdO4kD+8nVgzwEAAI4DAAAOAAAAAAAAAAEAIAAA&#10;ACc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W1、S2</w:t>
                        </w:r>
                      </w:p>
                    </w:txbxContent>
                  </v:textbox>
                </v:shape>
                <v:shape id="_x0000_s1026" o:spid="_x0000_s1026" o:spt="32" type="#_x0000_t32" style="position:absolute;left:4305845;top:762152;height:409657;width:0;" filled="f" stroked="t" coordsize="21600,21600" o:gfxdata="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76o2AAAAAkBAAAPAAAA&#10;AAAAAAEAIAAAACIAAABkcnMvZG93bnJldi54bWxQSwECFAAUAAAACACHTuJAcsf2+hUCAAD6AwAA&#10;DgAAAAAAAAABACAAAAAnAQAAZHJzL2Uyb0RvYy54bWxQSwUGAAAAAAYABgBZAQAArgUAAAAA&#10;">
                  <v:fill on="f" focussize="0,0"/>
                  <v:stroke color="#000000" joinstyle="round" endarrow="block" endarrowwidth="narrow" endarrowlength="short"/>
                  <v:imagedata o:title=""/>
                  <o:lock v:ext="edit" aspectratio="f"/>
                </v:shape>
                <v:shape id="_x0000_s1026" o:spid="_x0000_s1026" o:spt="32" type="#_x0000_t32" style="position:absolute;left:3576138;top:1315982;flip:x;height:4446;width:405181;" filled="f" stroked="t" coordsize="21600,21600" o:gfxdata="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T5&#10;IAPbAAAACQEAAA8AAAAAAAAAAQAgAAAAIgAAAGRycy9kb3ducmV2LnhtbFBLAQIUABQAAAAIAIdO&#10;4kBntQ7TIAIAAAgEAAAOAAAAAAAAAAEAIAAAACoBAABkcnMvZTJvRG9jLnhtbFBLBQYAAAAABgAG&#10;AFkBAAC8BQAAAAA=&#10;">
                  <v:fill on="f" focussize="0,0"/>
                  <v:stroke color="#000000" joinstyle="round" endarrow="block" endarrowwidth="narrow" endarrowlength="short"/>
                  <v:imagedata o:title=""/>
                  <o:lock v:ext="edit" aspectratio="f"/>
                </v:shape>
                <v:shape id="_x0000_s1026" o:spid="_x0000_s1026" o:spt="32" type="#_x0000_t32" style="position:absolute;left:2305342;top:1322968;flip:x;height:0;width:485201;" filled="f" stroked="t" coordsize="21600,21600" o:gfxdata="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Pkg&#10;A9sAAAAJAQAADwAAAAAAAAABACAAAAAiAAAAZHJzL2Rvd25yZXYueG1sUEsBAhQAFAAAAAgAh07i&#10;QOKV7ZcfAgAABQQAAA4AAAAAAAAAAQAgAAAAKgEAAGRycy9lMm9Eb2MueG1sUEsFBgAAAAAGAAYA&#10;WQEAALsFAAAAAA==&#10;">
                  <v:fill on="f" focussize="0,0"/>
                  <v:stroke color="#000000" joinstyle="round" endarrow="block" endarrowwidth="narrow" endarrowlength="short"/>
                  <v:imagedata o:title=""/>
                  <o:lock v:ext="edit" aspectratio="f"/>
                </v:shape>
                <v:shape id="_x0000_s1026" o:spid="_x0000_s1026" o:spt="32" type="#_x0000_t32" style="position:absolute;left:1058679;top:1311536;flip:x;height:635;width:461703;" filled="f" stroked="t" coordsize="21600,21600" o:gfxdata="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Pkg&#10;A9sAAAAJAQAADwAAAAAAAAABACAAAAAiAAAAZHJzL2Rvd25yZXYueG1sUEsBAhQAFAAAAAgAh07i&#10;QObOAx4fAgAABwQAAA4AAAAAAAAAAQAgAAAAKgEAAGRycy9lMm9Eb2MueG1sUEsFBgAAAAAGAAYA&#10;WQEAALsFAAAAAA==&#10;">
                  <v:fill on="f" focussize="0,0"/>
                  <v:stroke color="#000000" joinstyle="round" endarrow="block" endarrowwidth="narrow" endarrowlength="short"/>
                  <v:imagedata o:title=""/>
                  <o:lock v:ext="edit" aspectratio="f"/>
                </v:shape>
                <v:rect id="_x0000_s1026" o:spid="_x0000_s1026" o:spt="1" style="position:absolute;left:273085;top:1171808;height:278185;width:785595;" filled="f" stroked="t" coordsize="21600,21600" o:gfxdata="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AfoPdgA&#10;AAAJAQAADwAAAAAAAAABACAAAAAiAAAAZHJzL2Rvd25yZXYueG1sUEsBAhQAFAAAAAgAh07iQMkB&#10;dHgfAgAAQAQAAA4AAAAAAAAAAQAgAAAAJwEAAGRycy9lMm9Eb2MueG1sUEsFBgAAAAAGAAYAWQEA&#10;ALgFAAAAAA==&#10;">
                  <v:fill on="f" focussize="0,0"/>
                  <v:stroke color="#000000" joinstyle="miter"/>
                  <v:imagedata o:title=""/>
                  <o:lock v:ext="edit" aspectratio="f"/>
                  <v:textbox inset="7.19992125984252pt,3.59992125984252pt,7.19992125984252pt,3.59992125984252pt">
                    <w:txbxContent>
                      <w:p>
                        <w:pPr>
                          <w:jc w:val="center"/>
                          <w:rPr>
                            <w:rFonts w:hint="eastAsia"/>
                          </w:rPr>
                        </w:pPr>
                        <w:r>
                          <w:rPr>
                            <w:rFonts w:hint="eastAsia"/>
                          </w:rPr>
                          <w:t>收卷</w:t>
                        </w:r>
                      </w:p>
                    </w:txbxContent>
                  </v:textbox>
                </v:rect>
                <v:rect id="_x0000_s1026" o:spid="_x0000_s1026" o:spt="1" style="position:absolute;left:1520383;top:1171808;height:278820;width:784959;" filled="f" stroked="t" coordsize="21600,21600" o:gfxdata="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Afo&#10;PdgAAAAJAQAADwAAAAAAAAABACAAAAAiAAAAZHJzL2Rvd25yZXYueG1sUEsBAhQAFAAAAAgAh07i&#10;QIZq2JoiAgAAQQ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jc w:val="center"/>
                          <w:rPr>
                            <w:rFonts w:hint="eastAsia"/>
                          </w:rPr>
                        </w:pPr>
                        <w:r>
                          <w:rPr>
                            <w:rFonts w:hint="eastAsia"/>
                          </w:rPr>
                          <w:t>切割</w:t>
                        </w:r>
                      </w:p>
                    </w:txbxContent>
                  </v:textbox>
                </v:rect>
                <v:rect id="_x0000_s1026" o:spid="_x0000_s1026" o:spt="1" style="position:absolute;left:2790544;top:1180700;height:279456;width:785595;" filled="f" stroked="t" coordsize="21600,21600" o:gfxdata="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gH6D3Y&#10;AAAACQEAAA8AAAAAAAAAAQAgAAAAIgAAAGRycy9kb3ducmV2LnhtbFBLAQIUABQAAAAIAIdO4kC2&#10;f2p5IAIAAEEEAAAOAAAAAAAAAAEAIAAAACcBAABkcnMvZTJvRG9jLnhtbFBLBQYAAAAABgAGAFkB&#10;AAC5BQAAAAA=&#10;">
                  <v:fill on="f" focussize="0,0"/>
                  <v:stroke color="#000000" joinstyle="miter"/>
                  <v:imagedata o:title=""/>
                  <o:lock v:ext="edit" aspectratio="f"/>
                  <v:textbox inset="7.19992125984252pt,3.59992125984252pt,7.19992125984252pt,3.59992125984252pt">
                    <w:txbxContent>
                      <w:p>
                        <w:pPr>
                          <w:jc w:val="center"/>
                          <w:rPr>
                            <w:rFonts w:hint="eastAsia"/>
                          </w:rPr>
                        </w:pPr>
                        <w:r>
                          <w:rPr>
                            <w:rFonts w:hint="eastAsia"/>
                          </w:rPr>
                          <w:t>冷却</w:t>
                        </w:r>
                      </w:p>
                    </w:txbxContent>
                  </v:textbox>
                </v:rect>
                <v:shape id="_x0000_s1026" o:spid="_x0000_s1026" o:spt="32" type="#_x0000_t32" style="position:absolute;left:666199;top:1449993;height:443318;width:8891;" filled="f" stroked="t" coordsize="21600,21600" o:gfxdata="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EAo52QAAAAkBAAAP&#10;AAAAAAAAAAEAIAAAACIAAABkcnMvZG93bnJldi54bWxQSwECFAAUAAAACACHTuJArAExuhcCAAD+&#10;AwAADgAAAAAAAAABACAAAAAoAQAAZHJzL2Uyb0RvYy54bWxQSwUGAAAAAAYABgBZAQAAsQUAAAAA&#10;">
                  <v:fill on="f" focussize="0,0"/>
                  <v:stroke color="#000000" joinstyle="round" endarrow="block" endarrowwidth="narrow"/>
                  <v:imagedata o:title=""/>
                  <o:lock v:ext="edit" aspectratio="f"/>
                </v:shape>
                <v:shape id="_x0000_s1026" o:spid="_x0000_s1026" o:spt="32" type="#_x0000_t32" style="position:absolute;left:4305845;top:215943;flip:x;height:269929;width:3810;" filled="f" stroked="t" coordsize="21600,21600" o:gfxdata="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Fbzh7a&#10;AAAACQEAAA8AAAAAAAAAAQAgAAAAIgAAAGRycy9kb3ducmV2LnhtbFBLAQIUABQAAAAIAIdO4kDB&#10;YW+AHgIAAAgEAAAOAAAAAAAAAAEAIAAAACkBAABkcnMvZTJvRG9jLnhtbFBLBQYAAAAABgAGAFkB&#10;AAC5BQAAAAA=&#10;">
                  <v:fill on="f" focussize="0,0"/>
                  <v:stroke color="#000000" joinstyle="round" endarrow="block" endarrowwidth="narrow"/>
                  <v:imagedata o:title=""/>
                  <o:lock v:ext="edit" aspectratio="f"/>
                </v:shape>
                <v:rect id="_x0000_s1026" o:spid="_x0000_s1026" o:spt="1" style="position:absolute;left:3936864;top:0;height:279456;width:774798;" filled="f" stroked="f" coordsize="21600,21600" o:gfxdata="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Z9bFtkAAAAJAQAADwAAAAAAAAABACAAAAAiAAAAZHJzL2Rvd25yZXYu&#10;eG1sUEsBAhQAFAAAAAgAh07iQMuORifBAQAAfAMAAA4AAAAAAAAAAQAgAAAAKAEAAGRycy9lMm9E&#10;b2MueG1sUEsFBgAAAAAGAAYAWQEAAFs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面毯</w:t>
                        </w:r>
                      </w:p>
                    </w:txbxContent>
                  </v:textbox>
                </v:rect>
              </v:group>
            </w:pict>
          </mc:Fallback>
        </mc:AlternateContent>
      </w:r>
      <w:r>
        <w:rPr>
          <w:rFonts w:hint="default" w:ascii="Times New Roman" w:hAnsi="Times New Roman" w:eastAsia="宋体" w:cs="Times New Roman"/>
          <w:sz w:val="24"/>
          <w:szCs w:val="24"/>
        </w:rPr>
        <w:t>工艺流程及产污环节见图2-1。</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cs="Times New Roman"/>
          <w:lang w:val="en-US" w:eastAsia="zh-CN"/>
        </w:rPr>
      </w:pPr>
      <w:bookmarkStart w:id="81" w:name="_Toc12629"/>
      <w:bookmarkStart w:id="82" w:name="_Toc12284"/>
      <w:bookmarkStart w:id="83" w:name="_Toc29955"/>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cs="Times New Roman"/>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工艺流程简述：</w:t>
      </w:r>
    </w:p>
    <w:p>
      <w:pPr>
        <w:spacing w:line="360" w:lineRule="auto"/>
        <w:ind w:firstLine="480" w:firstLineChars="200"/>
        <w:rPr>
          <w:rFonts w:hint="eastAsia"/>
          <w:color w:val="000000"/>
          <w:kern w:val="0"/>
          <w:sz w:val="24"/>
          <w:szCs w:val="24"/>
          <w:shd w:val="clear" w:color="auto" w:fill="auto"/>
        </w:rPr>
      </w:pPr>
      <w:r>
        <w:rPr>
          <w:rFonts w:hint="eastAsia"/>
          <w:color w:val="000000"/>
          <w:kern w:val="0"/>
          <w:sz w:val="24"/>
          <w:szCs w:val="24"/>
          <w:shd w:val="clear" w:color="auto" w:fill="auto"/>
        </w:rPr>
        <w:t>注：项目生产过程均在车间内部，混料装置、上料泵均为密闭装置。</w:t>
      </w:r>
    </w:p>
    <w:p>
      <w:pPr>
        <w:spacing w:line="360" w:lineRule="auto"/>
        <w:ind w:firstLine="480" w:firstLineChars="200"/>
        <w:rPr>
          <w:rFonts w:hint="default" w:eastAsia="宋体"/>
          <w:color w:val="000000"/>
          <w:kern w:val="0"/>
          <w:sz w:val="24"/>
          <w:szCs w:val="24"/>
          <w:shd w:val="clear" w:color="auto" w:fill="auto"/>
          <w:lang w:val="en-US" w:eastAsia="zh-CN"/>
        </w:rPr>
      </w:pPr>
      <w:r>
        <w:rPr>
          <w:rFonts w:hint="eastAsia"/>
          <w:color w:val="000000"/>
          <w:kern w:val="0"/>
          <w:sz w:val="24"/>
          <w:szCs w:val="24"/>
          <w:shd w:val="clear" w:color="auto" w:fill="auto"/>
        </w:rPr>
        <w:t>混料：项目所用</w:t>
      </w:r>
      <w:r>
        <w:rPr>
          <w:rFonts w:hint="eastAsia"/>
          <w:color w:val="000000"/>
          <w:kern w:val="0"/>
          <w:sz w:val="24"/>
          <w:szCs w:val="24"/>
          <w:shd w:val="clear" w:color="auto" w:fill="auto"/>
          <w:lang w:val="en-US" w:eastAsia="zh-CN"/>
        </w:rPr>
        <w:t>聚氯乙烯糊树脂</w:t>
      </w:r>
      <w:r>
        <w:rPr>
          <w:rFonts w:hint="eastAsia"/>
          <w:color w:val="000000"/>
          <w:kern w:val="0"/>
          <w:sz w:val="24"/>
          <w:szCs w:val="24"/>
          <w:shd w:val="clear" w:color="auto" w:fill="auto"/>
        </w:rPr>
        <w:t>、增塑剂</w:t>
      </w:r>
      <w:r>
        <w:rPr>
          <w:rFonts w:hint="eastAsia"/>
          <w:color w:val="000000"/>
          <w:kern w:val="0"/>
          <w:sz w:val="24"/>
          <w:szCs w:val="24"/>
          <w:shd w:val="clear" w:color="auto" w:fill="auto"/>
          <w:lang w:eastAsia="zh-CN"/>
        </w:rPr>
        <w:t>、稳定剂</w:t>
      </w:r>
      <w:r>
        <w:rPr>
          <w:rFonts w:hint="eastAsia"/>
          <w:color w:val="000000"/>
          <w:kern w:val="0"/>
          <w:sz w:val="24"/>
          <w:szCs w:val="24"/>
          <w:shd w:val="clear" w:color="auto" w:fill="auto"/>
        </w:rPr>
        <w:t>、炭黑和钙粉均为袋装，破袋后按比例</w:t>
      </w:r>
      <w:r>
        <w:rPr>
          <w:rFonts w:hint="eastAsia"/>
          <w:color w:val="000000"/>
          <w:kern w:val="0"/>
          <w:sz w:val="24"/>
          <w:szCs w:val="24"/>
          <w:shd w:val="clear" w:color="auto" w:fill="auto"/>
          <w:lang w:val="en-US" w:eastAsia="zh-CN"/>
        </w:rPr>
        <w:t>加入</w:t>
      </w:r>
      <w:r>
        <w:rPr>
          <w:rFonts w:hint="eastAsia"/>
          <w:color w:val="000000"/>
          <w:kern w:val="0"/>
          <w:sz w:val="24"/>
          <w:szCs w:val="24"/>
          <w:shd w:val="clear" w:color="auto" w:fill="auto"/>
        </w:rPr>
        <w:t>入</w:t>
      </w:r>
      <w:r>
        <w:rPr>
          <w:rFonts w:hint="eastAsia"/>
          <w:color w:val="000000"/>
          <w:kern w:val="0"/>
          <w:sz w:val="24"/>
          <w:szCs w:val="24"/>
          <w:shd w:val="clear" w:color="auto" w:fill="auto"/>
          <w:lang w:val="en-US" w:eastAsia="zh-CN"/>
        </w:rPr>
        <w:t>到密闭</w:t>
      </w:r>
      <w:r>
        <w:rPr>
          <w:rFonts w:hint="eastAsia"/>
          <w:color w:val="000000"/>
          <w:kern w:val="0"/>
          <w:sz w:val="24"/>
          <w:szCs w:val="24"/>
          <w:shd w:val="clear" w:color="auto" w:fill="auto"/>
        </w:rPr>
        <w:t>混料罐中（少量倾洒料由人工清扫回收混料罐中），增塑剂用流量计量枪从铁桶中打入</w:t>
      </w:r>
      <w:r>
        <w:rPr>
          <w:rFonts w:hint="eastAsia"/>
          <w:color w:val="000000"/>
          <w:kern w:val="0"/>
          <w:sz w:val="24"/>
          <w:szCs w:val="24"/>
          <w:shd w:val="clear" w:color="auto" w:fill="auto"/>
          <w:lang w:val="en-US" w:eastAsia="zh-CN"/>
        </w:rPr>
        <w:t>密闭</w:t>
      </w:r>
      <w:r>
        <w:rPr>
          <w:rFonts w:hint="eastAsia"/>
          <w:color w:val="000000"/>
          <w:kern w:val="0"/>
          <w:sz w:val="24"/>
          <w:szCs w:val="24"/>
          <w:shd w:val="clear" w:color="auto" w:fill="auto"/>
        </w:rPr>
        <w:t>混料罐中，在</w:t>
      </w:r>
      <w:r>
        <w:rPr>
          <w:rFonts w:hint="eastAsia"/>
          <w:color w:val="000000"/>
          <w:kern w:val="0"/>
          <w:sz w:val="24"/>
          <w:szCs w:val="24"/>
          <w:shd w:val="clear" w:color="auto" w:fill="auto"/>
          <w:lang w:val="en-US" w:eastAsia="zh-CN"/>
        </w:rPr>
        <w:t>密闭</w:t>
      </w:r>
      <w:r>
        <w:rPr>
          <w:rFonts w:hint="eastAsia"/>
          <w:color w:val="000000"/>
          <w:kern w:val="0"/>
          <w:sz w:val="24"/>
          <w:szCs w:val="24"/>
          <w:shd w:val="clear" w:color="auto" w:fill="auto"/>
        </w:rPr>
        <w:t>混料罐中经搅拌充分混合后，依靠自身重力转移至储料罐中。</w:t>
      </w:r>
      <w:r>
        <w:rPr>
          <w:rFonts w:hint="eastAsia"/>
          <w:color w:val="000000"/>
          <w:kern w:val="0"/>
          <w:sz w:val="24"/>
          <w:szCs w:val="24"/>
          <w:shd w:val="clear" w:color="auto" w:fill="auto"/>
          <w:lang w:val="en-US" w:eastAsia="zh-CN"/>
        </w:rPr>
        <w:t>氯乙烯糊树脂为湿料，在车间内静风投料不会产生粉尘，搅拌过程是在密闭混料罐中进行，无粉尘产生。</w:t>
      </w:r>
    </w:p>
    <w:p>
      <w:pPr>
        <w:spacing w:line="360" w:lineRule="auto"/>
        <w:ind w:firstLine="480" w:firstLineChars="200"/>
        <w:rPr>
          <w:rFonts w:hint="eastAsia"/>
          <w:color w:val="000000"/>
          <w:kern w:val="0"/>
          <w:sz w:val="24"/>
          <w:szCs w:val="24"/>
          <w:shd w:val="clear" w:color="auto" w:fill="auto"/>
        </w:rPr>
      </w:pPr>
      <w:r>
        <w:rPr>
          <w:rFonts w:hint="eastAsia"/>
          <w:color w:val="000000"/>
          <w:kern w:val="0"/>
          <w:sz w:val="24"/>
          <w:szCs w:val="24"/>
          <w:shd w:val="clear" w:color="auto" w:fill="auto"/>
        </w:rPr>
        <w:t>上料：靠自身重力转移到生产线涂刮单元。</w:t>
      </w:r>
    </w:p>
    <w:p>
      <w:pPr>
        <w:spacing w:line="360" w:lineRule="auto"/>
        <w:ind w:firstLine="480" w:firstLineChars="200"/>
        <w:rPr>
          <w:rFonts w:hint="eastAsia"/>
          <w:color w:val="000000"/>
          <w:kern w:val="0"/>
          <w:sz w:val="24"/>
          <w:szCs w:val="24"/>
          <w:shd w:val="clear" w:color="auto" w:fill="auto"/>
        </w:rPr>
      </w:pPr>
      <w:r>
        <w:rPr>
          <w:rFonts w:hint="eastAsia"/>
          <w:color w:val="000000"/>
          <w:kern w:val="0"/>
          <w:sz w:val="24"/>
          <w:szCs w:val="24"/>
          <w:shd w:val="clear" w:color="auto" w:fill="auto"/>
        </w:rPr>
        <w:t>涂刮：经刮刀涂刮到一定厚度后经传送带传送到塑化烘箱单元。</w:t>
      </w:r>
    </w:p>
    <w:p>
      <w:pPr>
        <w:spacing w:line="360" w:lineRule="auto"/>
        <w:ind w:firstLine="480" w:firstLineChars="200"/>
        <w:rPr>
          <w:rFonts w:hint="eastAsia"/>
          <w:color w:val="000000"/>
          <w:kern w:val="0"/>
          <w:sz w:val="24"/>
          <w:szCs w:val="24"/>
          <w:shd w:val="clear" w:color="auto" w:fill="auto"/>
        </w:rPr>
      </w:pPr>
      <w:r>
        <w:rPr>
          <w:rFonts w:hint="eastAsia"/>
          <w:color w:val="000000"/>
          <w:kern w:val="0"/>
          <w:sz w:val="24"/>
          <w:szCs w:val="24"/>
          <w:shd w:val="clear" w:color="auto" w:fill="auto"/>
        </w:rPr>
        <w:t>塑化：毯面由放卷装置平铺在树脂涂刮层上面随传送带一并进入塑化烘箱，塑化温度为160-180℃，时间为3分钟，经塑化工序后毯面与树脂覆底粘合在一起。</w:t>
      </w:r>
    </w:p>
    <w:p>
      <w:pPr>
        <w:spacing w:line="360" w:lineRule="auto"/>
        <w:ind w:firstLine="480" w:firstLineChars="200"/>
        <w:rPr>
          <w:rFonts w:hint="eastAsia"/>
          <w:color w:val="000000"/>
          <w:kern w:val="0"/>
          <w:sz w:val="24"/>
          <w:szCs w:val="24"/>
          <w:shd w:val="clear" w:color="auto" w:fill="auto"/>
        </w:rPr>
      </w:pPr>
      <w:r>
        <w:rPr>
          <w:rFonts w:hint="eastAsia"/>
          <w:color w:val="000000"/>
          <w:kern w:val="0"/>
          <w:sz w:val="24"/>
          <w:szCs w:val="24"/>
          <w:shd w:val="clear" w:color="auto" w:fill="auto"/>
        </w:rPr>
        <w:t>冷却：经循环水冷却单元冷却后树脂固化。</w:t>
      </w:r>
    </w:p>
    <w:p>
      <w:pPr>
        <w:spacing w:line="360" w:lineRule="auto"/>
        <w:ind w:firstLine="480" w:firstLineChars="200"/>
        <w:rPr>
          <w:rFonts w:hint="eastAsia"/>
          <w:color w:val="000000"/>
          <w:kern w:val="0"/>
          <w:sz w:val="24"/>
          <w:szCs w:val="24"/>
          <w:shd w:val="clear" w:color="auto" w:fill="auto"/>
        </w:rPr>
      </w:pPr>
      <w:r>
        <w:rPr>
          <w:rFonts w:hint="eastAsia"/>
          <w:color w:val="000000"/>
          <w:kern w:val="0"/>
          <w:sz w:val="24"/>
          <w:szCs w:val="24"/>
          <w:shd w:val="clear" w:color="auto" w:fill="auto"/>
        </w:rPr>
        <w:t>切割：经切割单元测量切割。</w:t>
      </w:r>
    </w:p>
    <w:p>
      <w:pPr>
        <w:spacing w:line="360" w:lineRule="auto"/>
        <w:ind w:firstLine="480" w:firstLineChars="200"/>
        <w:rPr>
          <w:rFonts w:hint="eastAsia"/>
          <w:color w:val="000000"/>
          <w:kern w:val="0"/>
          <w:sz w:val="24"/>
          <w:szCs w:val="24"/>
          <w:shd w:val="clear" w:color="auto" w:fill="auto"/>
        </w:rPr>
      </w:pPr>
      <w:r>
        <w:rPr>
          <w:rFonts w:hint="eastAsia"/>
          <w:color w:val="000000"/>
          <w:kern w:val="0"/>
          <w:sz w:val="24"/>
          <w:szCs w:val="24"/>
          <w:shd w:val="clear" w:color="auto" w:fill="auto"/>
        </w:rPr>
        <w:t>入库：进入到收卷单元收卷，收好卷的地毯人工装进编织袋包装，然后外运。</w:t>
      </w:r>
    </w:p>
    <w:p>
      <w:pPr>
        <w:spacing w:line="360" w:lineRule="auto"/>
        <w:ind w:firstLine="480" w:firstLineChars="200"/>
        <w:rPr>
          <w:rFonts w:hint="eastAsia"/>
          <w:color w:val="000000"/>
          <w:sz w:val="24"/>
          <w:szCs w:val="24"/>
          <w:shd w:val="clear" w:color="auto" w:fill="auto"/>
        </w:rPr>
      </w:pPr>
      <w:r>
        <w:rPr>
          <w:rFonts w:hint="eastAsia"/>
          <w:color w:val="000000"/>
          <w:sz w:val="24"/>
          <w:szCs w:val="24"/>
          <w:shd w:val="clear" w:color="auto" w:fill="auto"/>
        </w:rPr>
        <w:t>主要污染工序</w:t>
      </w:r>
    </w:p>
    <w:p>
      <w:pPr>
        <w:spacing w:line="360" w:lineRule="auto"/>
        <w:ind w:firstLine="480" w:firstLineChars="200"/>
        <w:rPr>
          <w:color w:val="000000"/>
          <w:sz w:val="24"/>
          <w:szCs w:val="24"/>
          <w:shd w:val="clear" w:color="auto" w:fill="auto"/>
        </w:rPr>
      </w:pPr>
      <w:r>
        <w:rPr>
          <w:color w:val="000000"/>
          <w:sz w:val="24"/>
          <w:szCs w:val="24"/>
          <w:shd w:val="clear" w:color="auto" w:fill="auto"/>
        </w:rPr>
        <w:t>废气</w:t>
      </w:r>
    </w:p>
    <w:p>
      <w:pPr>
        <w:pStyle w:val="2"/>
        <w:spacing w:line="360" w:lineRule="auto"/>
        <w:ind w:firstLineChars="200"/>
        <w:rPr>
          <w:color w:val="000000"/>
          <w:sz w:val="24"/>
          <w:szCs w:val="24"/>
          <w:shd w:val="clear" w:color="auto" w:fill="auto"/>
        </w:rPr>
      </w:pPr>
      <w:r>
        <w:rPr>
          <w:color w:val="000000"/>
          <w:sz w:val="24"/>
          <w:szCs w:val="24"/>
          <w:shd w:val="clear" w:color="auto" w:fill="auto"/>
        </w:rPr>
        <w:t>G1：</w:t>
      </w:r>
      <w:r>
        <w:rPr>
          <w:rFonts w:hint="eastAsia"/>
          <w:color w:val="000000"/>
          <w:sz w:val="24"/>
          <w:szCs w:val="24"/>
          <w:shd w:val="clear" w:color="auto" w:fill="auto"/>
        </w:rPr>
        <w:t>塑化工序产生废气</w:t>
      </w:r>
      <w:r>
        <w:rPr>
          <w:color w:val="000000"/>
          <w:sz w:val="24"/>
          <w:szCs w:val="24"/>
          <w:shd w:val="clear" w:color="auto" w:fill="auto"/>
        </w:rPr>
        <w:t>，主要污染因子为非甲烷总烃</w:t>
      </w:r>
      <w:r>
        <w:rPr>
          <w:rFonts w:hint="eastAsia"/>
          <w:color w:val="000000"/>
          <w:sz w:val="24"/>
          <w:szCs w:val="24"/>
          <w:shd w:val="clear" w:color="auto" w:fill="auto"/>
        </w:rPr>
        <w:t>、氯化氢</w:t>
      </w:r>
      <w:r>
        <w:rPr>
          <w:rFonts w:hint="eastAsia"/>
          <w:color w:val="000000"/>
          <w:sz w:val="24"/>
          <w:szCs w:val="24"/>
          <w:shd w:val="clear" w:color="auto" w:fill="auto"/>
          <w:lang w:eastAsia="zh-CN"/>
        </w:rPr>
        <w:t>、</w:t>
      </w:r>
      <w:r>
        <w:rPr>
          <w:rFonts w:hint="eastAsia"/>
          <w:color w:val="000000"/>
          <w:sz w:val="24"/>
          <w:szCs w:val="24"/>
          <w:shd w:val="clear" w:color="auto" w:fill="auto"/>
          <w:lang w:val="en-US" w:eastAsia="zh-CN"/>
        </w:rPr>
        <w:t>氯乙烯</w:t>
      </w:r>
      <w:r>
        <w:rPr>
          <w:color w:val="000000"/>
          <w:sz w:val="24"/>
          <w:szCs w:val="24"/>
          <w:shd w:val="clear" w:color="auto" w:fill="auto"/>
        </w:rPr>
        <w:t>；</w:t>
      </w:r>
    </w:p>
    <w:p>
      <w:pPr>
        <w:spacing w:line="360" w:lineRule="auto"/>
        <w:ind w:firstLine="480" w:firstLineChars="200"/>
        <w:rPr>
          <w:rFonts w:hint="eastAsia" w:eastAsia="宋体"/>
          <w:color w:val="000000"/>
          <w:sz w:val="24"/>
          <w:szCs w:val="24"/>
          <w:shd w:val="clear" w:color="auto" w:fill="auto"/>
          <w:lang w:eastAsia="zh-CN"/>
        </w:rPr>
      </w:pPr>
      <w:r>
        <w:rPr>
          <w:color w:val="000000"/>
          <w:sz w:val="24"/>
          <w:szCs w:val="24"/>
          <w:shd w:val="clear" w:color="auto" w:fill="auto"/>
        </w:rPr>
        <w:t>废水</w:t>
      </w:r>
      <w:r>
        <w:rPr>
          <w:rFonts w:hint="eastAsia"/>
          <w:color w:val="000000"/>
          <w:sz w:val="24"/>
          <w:szCs w:val="24"/>
          <w:shd w:val="clear" w:color="auto" w:fill="auto"/>
          <w:lang w:eastAsia="zh-CN"/>
        </w:rPr>
        <w:t>：</w:t>
      </w:r>
    </w:p>
    <w:p>
      <w:pPr>
        <w:spacing w:line="360" w:lineRule="auto"/>
        <w:ind w:firstLine="480" w:firstLineChars="200"/>
        <w:rPr>
          <w:color w:val="000000"/>
          <w:sz w:val="24"/>
          <w:szCs w:val="24"/>
          <w:shd w:val="clear" w:color="auto" w:fill="auto"/>
        </w:rPr>
      </w:pPr>
      <w:r>
        <w:rPr>
          <w:color w:val="000000"/>
          <w:sz w:val="24"/>
          <w:szCs w:val="24"/>
          <w:shd w:val="clear" w:color="auto" w:fill="auto"/>
        </w:rPr>
        <w:t>项目无工艺废水产生；</w:t>
      </w:r>
      <w:r>
        <w:rPr>
          <w:rFonts w:hint="eastAsia"/>
          <w:color w:val="000000"/>
          <w:sz w:val="24"/>
          <w:szCs w:val="24"/>
          <w:shd w:val="clear" w:color="auto" w:fill="auto"/>
        </w:rPr>
        <w:t>冷却塔水循环使用。</w:t>
      </w:r>
    </w:p>
    <w:p>
      <w:pPr>
        <w:spacing w:line="360" w:lineRule="auto"/>
        <w:ind w:firstLine="480" w:firstLineChars="200"/>
        <w:rPr>
          <w:color w:val="000000"/>
          <w:sz w:val="24"/>
          <w:szCs w:val="24"/>
          <w:shd w:val="clear" w:color="auto" w:fill="auto"/>
        </w:rPr>
      </w:pPr>
      <w:r>
        <w:rPr>
          <w:color w:val="000000"/>
          <w:sz w:val="24"/>
          <w:szCs w:val="24"/>
          <w:shd w:val="clear" w:color="auto" w:fill="auto"/>
        </w:rPr>
        <w:t>厂区职工产生生活污水，主要污染因子为COD、SS、氨氮。</w:t>
      </w:r>
    </w:p>
    <w:p>
      <w:pPr>
        <w:spacing w:line="360" w:lineRule="auto"/>
        <w:ind w:firstLine="480" w:firstLineChars="200"/>
        <w:rPr>
          <w:color w:val="000000"/>
          <w:sz w:val="24"/>
          <w:szCs w:val="24"/>
          <w:shd w:val="clear" w:color="auto" w:fill="auto"/>
        </w:rPr>
      </w:pPr>
      <w:r>
        <w:rPr>
          <w:color w:val="000000"/>
          <w:sz w:val="24"/>
          <w:szCs w:val="24"/>
          <w:shd w:val="clear" w:color="auto" w:fill="auto"/>
        </w:rPr>
        <w:t>噪声</w:t>
      </w:r>
    </w:p>
    <w:p>
      <w:pPr>
        <w:spacing w:line="360" w:lineRule="auto"/>
        <w:ind w:firstLine="480" w:firstLineChars="200"/>
        <w:rPr>
          <w:color w:val="000000"/>
          <w:sz w:val="24"/>
          <w:szCs w:val="24"/>
          <w:shd w:val="clear" w:color="auto" w:fill="auto"/>
        </w:rPr>
      </w:pPr>
      <w:r>
        <w:rPr>
          <w:color w:val="000000"/>
          <w:sz w:val="24"/>
          <w:szCs w:val="24"/>
          <w:shd w:val="clear" w:color="auto" w:fill="auto"/>
        </w:rPr>
        <w:t>项目产生的噪声主要为</w:t>
      </w:r>
      <w:r>
        <w:rPr>
          <w:rFonts w:hint="eastAsia"/>
          <w:color w:val="000000"/>
          <w:sz w:val="24"/>
          <w:szCs w:val="24"/>
          <w:shd w:val="clear" w:color="auto" w:fill="auto"/>
        </w:rPr>
        <w:t>生产设备</w:t>
      </w:r>
      <w:r>
        <w:rPr>
          <w:color w:val="000000"/>
          <w:sz w:val="24"/>
          <w:szCs w:val="24"/>
          <w:shd w:val="clear" w:color="auto" w:fill="auto"/>
        </w:rPr>
        <w:t>工作时产生的噪声</w:t>
      </w:r>
      <w:r>
        <w:rPr>
          <w:rFonts w:hint="eastAsia"/>
          <w:color w:val="000000"/>
          <w:sz w:val="24"/>
          <w:szCs w:val="24"/>
          <w:shd w:val="clear" w:color="auto" w:fill="auto"/>
        </w:rPr>
        <w:t>(</w:t>
      </w:r>
      <w:r>
        <w:rPr>
          <w:color w:val="000000"/>
          <w:sz w:val="24"/>
          <w:szCs w:val="24"/>
          <w:shd w:val="clear" w:color="auto" w:fill="auto"/>
        </w:rPr>
        <w:t>N1-N2），噪声值约75～</w:t>
      </w:r>
      <w:r>
        <w:rPr>
          <w:rFonts w:hint="eastAsia"/>
          <w:color w:val="000000"/>
          <w:sz w:val="24"/>
          <w:szCs w:val="24"/>
          <w:shd w:val="clear" w:color="auto" w:fill="auto"/>
        </w:rPr>
        <w:t>8</w:t>
      </w:r>
      <w:r>
        <w:rPr>
          <w:color w:val="000000"/>
          <w:sz w:val="24"/>
          <w:szCs w:val="24"/>
          <w:shd w:val="clear" w:color="auto" w:fill="auto"/>
        </w:rPr>
        <w:t>5dB（A）。</w:t>
      </w:r>
    </w:p>
    <w:p>
      <w:pPr>
        <w:spacing w:line="360" w:lineRule="auto"/>
        <w:ind w:firstLine="480" w:firstLineChars="200"/>
        <w:rPr>
          <w:color w:val="000000"/>
          <w:sz w:val="24"/>
          <w:szCs w:val="24"/>
          <w:shd w:val="clear" w:color="auto" w:fill="auto"/>
        </w:rPr>
      </w:pPr>
      <w:r>
        <w:rPr>
          <w:color w:val="000000"/>
          <w:sz w:val="24"/>
          <w:szCs w:val="24"/>
          <w:shd w:val="clear" w:color="auto" w:fill="auto"/>
        </w:rPr>
        <w:t>固体废物</w:t>
      </w:r>
    </w:p>
    <w:p>
      <w:pPr>
        <w:spacing w:line="360" w:lineRule="auto"/>
        <w:ind w:firstLine="480" w:firstLineChars="200"/>
        <w:rPr>
          <w:rFonts w:hint="eastAsia"/>
          <w:color w:val="000000"/>
          <w:sz w:val="24"/>
          <w:szCs w:val="24"/>
          <w:shd w:val="clear" w:color="auto" w:fill="auto"/>
        </w:rPr>
      </w:pPr>
      <w:r>
        <w:rPr>
          <w:rFonts w:hint="eastAsia"/>
          <w:color w:val="000000"/>
          <w:sz w:val="24"/>
          <w:szCs w:val="24"/>
          <w:shd w:val="clear" w:color="auto" w:fill="auto"/>
        </w:rPr>
        <w:t>S1：生产过程产生的下脚料；</w:t>
      </w:r>
    </w:p>
    <w:p>
      <w:pPr>
        <w:spacing w:line="360" w:lineRule="auto"/>
        <w:ind w:firstLine="480" w:firstLineChars="200"/>
        <w:rPr>
          <w:rFonts w:hint="eastAsia"/>
          <w:color w:val="000000"/>
          <w:sz w:val="24"/>
          <w:szCs w:val="24"/>
          <w:shd w:val="clear" w:color="auto" w:fill="auto"/>
        </w:rPr>
      </w:pPr>
      <w:r>
        <w:rPr>
          <w:rFonts w:hint="eastAsia"/>
          <w:color w:val="000000"/>
          <w:sz w:val="24"/>
          <w:szCs w:val="24"/>
          <w:shd w:val="clear" w:color="auto" w:fill="auto"/>
        </w:rPr>
        <w:t>S2：废气处理装置产生的废活性炭；</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24"/>
          <w:szCs w:val="24"/>
          <w:lang w:val="en-US" w:eastAsia="zh-CN"/>
        </w:rPr>
      </w:pPr>
      <w:r>
        <w:rPr>
          <w:rFonts w:hint="eastAsia"/>
          <w:color w:val="000000"/>
          <w:sz w:val="24"/>
          <w:szCs w:val="24"/>
          <w:shd w:val="clear" w:color="auto" w:fill="auto"/>
        </w:rPr>
        <w:t>S3：职工</w:t>
      </w:r>
      <w:r>
        <w:rPr>
          <w:color w:val="000000"/>
          <w:sz w:val="24"/>
          <w:szCs w:val="24"/>
          <w:shd w:val="clear" w:color="auto" w:fill="auto"/>
        </w:rPr>
        <w:t>生活垃圾。</w:t>
      </w:r>
    </w:p>
    <w:p>
      <w:pPr>
        <w:pStyle w:val="6"/>
        <w:rPr>
          <w:rFonts w:hint="default" w:ascii="Times New Roman" w:hAnsi="Times New Roman" w:eastAsia="宋体" w:cs="Times New Roman"/>
        </w:rPr>
      </w:pPr>
      <w:bookmarkStart w:id="84" w:name="_Toc10595"/>
      <w:r>
        <w:rPr>
          <w:rFonts w:hint="default" w:ascii="Times New Roman" w:hAnsi="Times New Roman" w:eastAsia="宋体" w:cs="Times New Roman"/>
        </w:rPr>
        <w:t>2.4 劳动定员及工作制度</w:t>
      </w:r>
      <w:bookmarkEnd w:id="81"/>
      <w:bookmarkEnd w:id="82"/>
      <w:bookmarkEnd w:id="83"/>
      <w:bookmarkEnd w:id="84"/>
    </w:p>
    <w:p>
      <w:pPr>
        <w:spacing w:line="360" w:lineRule="auto"/>
        <w:ind w:firstLine="480" w:firstLineChars="200"/>
        <w:rPr>
          <w:snapToGrid w:val="0"/>
          <w:sz w:val="24"/>
        </w:rPr>
      </w:pPr>
      <w:r>
        <w:rPr>
          <w:sz w:val="24"/>
        </w:rPr>
        <w:t>项目劳动定员</w:t>
      </w:r>
      <w:r>
        <w:rPr>
          <w:rFonts w:hint="eastAsia"/>
          <w:sz w:val="24"/>
          <w:highlight w:val="none"/>
          <w:lang w:val="en-US" w:eastAsia="zh-CN"/>
        </w:rPr>
        <w:t>24</w:t>
      </w:r>
      <w:r>
        <w:rPr>
          <w:sz w:val="24"/>
        </w:rPr>
        <w:t>人，年工作300天，每天</w:t>
      </w:r>
      <w:r>
        <w:rPr>
          <w:rFonts w:hint="eastAsia"/>
          <w:sz w:val="24"/>
          <w:lang w:val="en-US" w:eastAsia="zh-CN"/>
        </w:rPr>
        <w:t>3</w:t>
      </w:r>
      <w:r>
        <w:rPr>
          <w:sz w:val="24"/>
        </w:rPr>
        <w:t>班，每班</w:t>
      </w:r>
      <w:r>
        <w:rPr>
          <w:rFonts w:hint="eastAsia"/>
          <w:sz w:val="24"/>
        </w:rPr>
        <w:t>8</w:t>
      </w:r>
      <w:r>
        <w:rPr>
          <w:sz w:val="24"/>
        </w:rPr>
        <w:t>小时，年工作</w:t>
      </w:r>
      <w:r>
        <w:rPr>
          <w:rFonts w:hint="eastAsia"/>
          <w:sz w:val="24"/>
          <w:lang w:val="en-US" w:eastAsia="zh-CN"/>
        </w:rPr>
        <w:t>72</w:t>
      </w:r>
      <w:r>
        <w:rPr>
          <w:sz w:val="24"/>
        </w:rPr>
        <w:t>00h。</w:t>
      </w:r>
    </w:p>
    <w:p>
      <w:pPr>
        <w:pStyle w:val="6"/>
        <w:rPr>
          <w:rFonts w:hint="default" w:ascii="Times New Roman" w:hAnsi="Times New Roman" w:eastAsia="宋体" w:cs="Times New Roman"/>
        </w:rPr>
      </w:pPr>
      <w:bookmarkStart w:id="85" w:name="_Toc4180"/>
      <w:bookmarkStart w:id="86" w:name="_Toc23560"/>
      <w:bookmarkStart w:id="87" w:name="_Toc172"/>
      <w:bookmarkStart w:id="88" w:name="_Toc1111"/>
      <w:r>
        <w:rPr>
          <w:rFonts w:hint="default" w:ascii="Times New Roman" w:hAnsi="Times New Roman" w:eastAsia="宋体" w:cs="Times New Roman"/>
        </w:rPr>
        <w:t>2.5 公用工程</w:t>
      </w:r>
      <w:bookmarkEnd w:id="85"/>
      <w:bookmarkEnd w:id="86"/>
      <w:bookmarkEnd w:id="87"/>
      <w:bookmarkEnd w:id="88"/>
    </w:p>
    <w:p>
      <w:pPr>
        <w:spacing w:line="480" w:lineRule="exact"/>
        <w:ind w:left="482"/>
        <w:rPr>
          <w:rFonts w:hint="default" w:ascii="Times New Roman" w:hAnsi="Times New Roman" w:cs="Times New Roman"/>
          <w:b/>
          <w:bCs/>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eastAsia="zh-CN"/>
        </w:rPr>
        <w:t>给排</w:t>
      </w:r>
      <w:r>
        <w:rPr>
          <w:rFonts w:hint="default" w:ascii="Times New Roman" w:hAnsi="Times New Roman" w:cs="Times New Roman"/>
          <w:sz w:val="24"/>
          <w:szCs w:val="24"/>
        </w:rPr>
        <w:t>水</w:t>
      </w:r>
    </w:p>
    <w:p>
      <w:pPr>
        <w:keepNext w:val="0"/>
        <w:keepLines w:val="0"/>
        <w:pageBreakBefore w:val="0"/>
        <w:widowControl w:val="0"/>
        <w:kinsoku/>
        <w:wordWrap/>
        <w:overflowPunct/>
        <w:topLinePunct w:val="0"/>
        <w:autoSpaceDE/>
        <w:autoSpaceDN/>
        <w:bidi w:val="0"/>
        <w:adjustRightInd/>
        <w:snapToGrid/>
        <w:spacing w:line="480" w:lineRule="exact"/>
        <w:ind w:left="482"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项目用水分生产用水及生活用水，由当地供水管网提供，冷却塔用水量为120m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/a。员工生活用水按40L/d·人计，生活用水量为288m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/a（0.96m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/d），可满足项目用水需求。</w:t>
      </w:r>
    </w:p>
    <w:p>
      <w:pPr>
        <w:keepNext w:val="0"/>
        <w:keepLines w:val="0"/>
        <w:pageBreakBefore w:val="0"/>
        <w:widowControl w:val="0"/>
        <w:kinsoku/>
        <w:wordWrap/>
        <w:overflowPunct/>
        <w:topLinePunct w:val="0"/>
        <w:autoSpaceDE/>
        <w:autoSpaceDN/>
        <w:bidi w:val="0"/>
        <w:adjustRightInd/>
        <w:snapToGrid/>
        <w:spacing w:line="480" w:lineRule="exact"/>
        <w:ind w:left="482" w:firstLine="420" w:firstLineChars="200"/>
        <w:textAlignment w:val="auto"/>
        <w:rPr>
          <w:rFonts w:hint="default" w:ascii="Times New Roman" w:hAnsi="Times New Roman" w:cs="Times New Roman"/>
          <w:sz w:val="24"/>
          <w:szCs w:val="24"/>
        </w:rPr>
      </w:pPr>
      <w:r>
        <w:rPr>
          <w:color w:val="000000"/>
          <w:shd w:val="clear" w:color="auto" w:fill="auto"/>
        </w:rPr>
        <mc:AlternateContent>
          <mc:Choice Requires="wps">
            <w:drawing>
              <wp:anchor distT="0" distB="0" distL="114300" distR="114300" simplePos="0" relativeHeight="251682816" behindDoc="0" locked="0" layoutInCell="1" allowOverlap="1">
                <wp:simplePos x="0" y="0"/>
                <wp:positionH relativeFrom="column">
                  <wp:posOffset>2653030</wp:posOffset>
                </wp:positionH>
                <wp:positionV relativeFrom="paragraph">
                  <wp:posOffset>857250</wp:posOffset>
                </wp:positionV>
                <wp:extent cx="709930" cy="548005"/>
                <wp:effectExtent l="0" t="0" r="0" b="0"/>
                <wp:wrapNone/>
                <wp:docPr id="90" name="矩形 90"/>
                <wp:cNvGraphicFramePr/>
                <a:graphic xmlns:a="http://schemas.openxmlformats.org/drawingml/2006/main">
                  <a:graphicData uri="http://schemas.microsoft.com/office/word/2010/wordprocessingShape">
                    <wps:wsp>
                      <wps:cNvSpPr/>
                      <wps:spPr>
                        <a:xfrm>
                          <a:off x="0" y="0"/>
                          <a:ext cx="709930" cy="548005"/>
                        </a:xfrm>
                        <a:prstGeom prst="rect">
                          <a:avLst/>
                        </a:prstGeom>
                        <a:noFill/>
                        <a:ln>
                          <a:noFill/>
                        </a:ln>
                      </wps:spPr>
                      <wps:txbx>
                        <w:txbxContent>
                          <w:p>
                            <w:r>
                              <w:rPr>
                                <w:rFonts w:hint="eastAsia"/>
                              </w:rPr>
                              <w:t>12000</w:t>
                            </w:r>
                          </w:p>
                        </w:txbxContent>
                      </wps:txbx>
                      <wps:bodyPr upright="1"/>
                    </wps:wsp>
                  </a:graphicData>
                </a:graphic>
              </wp:anchor>
            </w:drawing>
          </mc:Choice>
          <mc:Fallback>
            <w:pict>
              <v:rect id="_x0000_s1026" o:spid="_x0000_s1026" o:spt="1" style="position:absolute;left:0pt;margin-left:208.9pt;margin-top:67.5pt;height:43.15pt;width:55.9pt;z-index:251682816;mso-width-relative:page;mso-height-relative:page;" filled="f" stroked="f" coordsize="21600,21600" o:gfxdata="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GmvYa3AAAAAsBAAAP&#10;AAAAAAAAAAEAIAAAACIAAABkcnMvZG93bnJldi54bWxQSwECFAAUAAAACACHTuJApRpn0qIBAABC&#10;AwAADgAAAAAAAAABACAAAAArAQAAZHJzL2Uyb0RvYy54bWxQSwUGAAAAAAYABgBZAQAAPwUAAAAA&#10;">
                <v:fill on="f" focussize="0,0"/>
                <v:stroke on="f"/>
                <v:imagedata o:title=""/>
                <o:lock v:ext="edit" aspectratio="f"/>
                <v:textbox>
                  <w:txbxContent>
                    <w:p>
                      <w:r>
                        <w:rPr>
                          <w:rFonts w:hint="eastAsia"/>
                        </w:rPr>
                        <w:t>12000</w:t>
                      </w:r>
                    </w:p>
                  </w:txbxContent>
                </v:textbox>
              </v:rect>
            </w:pict>
          </mc:Fallback>
        </mc:AlternateContent>
      </w:r>
      <w:r>
        <w:rPr>
          <w:rFonts w:hint="default" w:ascii="Times New Roman" w:hAnsi="Times New Roman" w:cs="Times New Roman"/>
          <w:sz w:val="24"/>
          <w:szCs w:val="24"/>
        </w:rPr>
        <w:t>项目冷却塔水循环使用不外排。生活污水按用水量的80%计，生活污水产生总量为230.4m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/a（0.768m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/d），生活污水排入化粪池，厂区设化粪池，定期清掏。</w:t>
      </w:r>
    </w:p>
    <w:p>
      <w:pPr>
        <w:spacing w:line="480" w:lineRule="exact"/>
        <w:ind w:firstLine="480" w:firstLineChars="200"/>
        <w:rPr>
          <w:color w:val="000000"/>
          <w:sz w:val="24"/>
        </w:rPr>
      </w:pPr>
      <w:r>
        <w:rPr>
          <w:color w:val="000000"/>
          <w:sz w:val="24"/>
        </w:rPr>
        <w:t>水平衡图见图</w:t>
      </w:r>
      <w:r>
        <w:rPr>
          <w:rFonts w:hint="eastAsia"/>
          <w:color w:val="000000"/>
          <w:sz w:val="24"/>
          <w:lang w:val="en-US" w:eastAsia="zh-CN"/>
        </w:rPr>
        <w:t>2.5-</w:t>
      </w:r>
      <w:r>
        <w:rPr>
          <w:color w:val="000000"/>
          <w:sz w:val="24"/>
        </w:rPr>
        <w:t>1。</w:t>
      </w:r>
    </w:p>
    <w:p>
      <w:pPr>
        <w:spacing w:line="360" w:lineRule="auto"/>
        <w:ind w:firstLine="480" w:firstLineChars="200"/>
        <w:rPr>
          <w:color w:val="000000"/>
          <w:sz w:val="24"/>
          <w:shd w:val="clear" w:color="auto" w:fill="auto"/>
        </w:rPr>
      </w:pPr>
      <w:r>
        <w:rPr>
          <w:color w:val="000000"/>
          <w:sz w:val="24"/>
          <w:shd w:val="clear" w:color="auto" w:fill="auto"/>
        </w:rPr>
        <mc:AlternateContent>
          <mc:Choice Requires="wps">
            <w:drawing>
              <wp:anchor distT="0" distB="0" distL="114300" distR="114300" simplePos="0" relativeHeight="251675648" behindDoc="0" locked="0" layoutInCell="1" allowOverlap="1">
                <wp:simplePos x="0" y="0"/>
                <wp:positionH relativeFrom="column">
                  <wp:posOffset>1148715</wp:posOffset>
                </wp:positionH>
                <wp:positionV relativeFrom="paragraph">
                  <wp:posOffset>192405</wp:posOffset>
                </wp:positionV>
                <wp:extent cx="553085" cy="352425"/>
                <wp:effectExtent l="0" t="0" r="0" b="0"/>
                <wp:wrapNone/>
                <wp:docPr id="81" name="矩形 81"/>
                <wp:cNvGraphicFramePr/>
                <a:graphic xmlns:a="http://schemas.openxmlformats.org/drawingml/2006/main">
                  <a:graphicData uri="http://schemas.microsoft.com/office/word/2010/wordprocessingShape">
                    <wps:wsp>
                      <wps:cNvSpPr/>
                      <wps:spPr>
                        <a:xfrm>
                          <a:off x="0" y="0"/>
                          <a:ext cx="553085" cy="352425"/>
                        </a:xfrm>
                        <a:prstGeom prst="rect">
                          <a:avLst/>
                        </a:prstGeom>
                        <a:noFill/>
                        <a:ln>
                          <a:noFill/>
                        </a:ln>
                      </wps:spPr>
                      <wps:txbx>
                        <w:txbxContent>
                          <w:p>
                            <w:r>
                              <w:rPr>
                                <w:rFonts w:hint="eastAsia"/>
                              </w:rPr>
                              <w:t>120</w:t>
                            </w:r>
                          </w:p>
                        </w:txbxContent>
                      </wps:txbx>
                      <wps:bodyPr upright="1"/>
                    </wps:wsp>
                  </a:graphicData>
                </a:graphic>
              </wp:anchor>
            </w:drawing>
          </mc:Choice>
          <mc:Fallback>
            <w:pict>
              <v:rect id="_x0000_s1026" o:spid="_x0000_s1026" o:spt="1" style="position:absolute;left:0pt;margin-left:90.45pt;margin-top:15.15pt;height:27.75pt;width:43.55pt;z-index:251675648;mso-width-relative:page;mso-height-relative:page;" filled="f" stroked="f" coordsize="21600,21600" o:gfxdata="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4X5XrZAAAACQEAAA8AAAAA&#10;AAAAAQAgAAAAIgAAAGRycy9kb3ducmV2LnhtbFBLAQIUABQAAAAIAIdO4kDo0qK6oQEAAEIDAAAO&#10;AAAAAAAAAAEAIAAAACgBAABkcnMvZTJvRG9jLnhtbFBLBQYAAAAABgAGAFkBAAA7BQAAAAA=&#10;">
                <v:fill on="f" focussize="0,0"/>
                <v:stroke on="f"/>
                <v:imagedata o:title=""/>
                <o:lock v:ext="edit" aspectratio="f"/>
                <v:textbox>
                  <w:txbxContent>
                    <w:p>
                      <w:r>
                        <w:rPr>
                          <w:rFonts w:hint="eastAsia"/>
                        </w:rPr>
                        <w:t>120</w:t>
                      </w:r>
                    </w:p>
                  </w:txbxContent>
                </v:textbox>
              </v:rect>
            </w:pict>
          </mc:Fallback>
        </mc:AlternateContent>
      </w:r>
      <w:r>
        <w:rPr>
          <w:color w:val="000000"/>
          <w:sz w:val="24"/>
          <w:shd w:val="clear" w:color="auto" w:fill="auto"/>
        </w:rPr>
        <mc:AlternateContent>
          <mc:Choice Requires="wps">
            <w:drawing>
              <wp:anchor distT="0" distB="0" distL="114300" distR="114300" simplePos="0" relativeHeight="251683840" behindDoc="0" locked="0" layoutInCell="1" allowOverlap="1">
                <wp:simplePos x="0" y="0"/>
                <wp:positionH relativeFrom="column">
                  <wp:posOffset>1837690</wp:posOffset>
                </wp:positionH>
                <wp:positionV relativeFrom="paragraph">
                  <wp:posOffset>114935</wp:posOffset>
                </wp:positionV>
                <wp:extent cx="180975" cy="133350"/>
                <wp:effectExtent l="2540" t="0" r="14605" b="3810"/>
                <wp:wrapNone/>
                <wp:docPr id="82" name="直接箭头连接符 82"/>
                <wp:cNvGraphicFramePr/>
                <a:graphic xmlns:a="http://schemas.openxmlformats.org/drawingml/2006/main">
                  <a:graphicData uri="http://schemas.microsoft.com/office/word/2010/wordprocessingShape">
                    <wps:wsp>
                      <wps:cNvCnPr/>
                      <wps:spPr>
                        <a:xfrm flipV="1">
                          <a:off x="0" y="0"/>
                          <a:ext cx="180975" cy="133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44.7pt;margin-top:9.05pt;height:10.5pt;width:14.25pt;z-index:251683840;mso-width-relative:page;mso-height-relative:page;" filled="f" stroked="t" coordsize="21600,21600" o:gfxdata="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jaC2QAAAAkBAAAPAAAAAAAA&#10;AAEAIAAAACIAAABkcnMvZG93bnJldi54bWxQSwECFAAUAAAACACHTuJA0XE22hECAAAABAAADgAA&#10;AAAAAAABACAAAAAoAQAAZHJzL2Uyb0RvYy54bWxQSwUGAAAAAAYABgBZAQAAqwUAAAAA&#10;">
                <v:fill on="f" focussize="0,0"/>
                <v:stroke color="#000000" joinstyle="round" endarrow="block"/>
                <v:imagedata o:title=""/>
                <o:lock v:ext="edit" aspectratio="f"/>
              </v:shape>
            </w:pict>
          </mc:Fallback>
        </mc:AlternateContent>
      </w:r>
      <w:r>
        <w:rPr>
          <w:color w:val="000000"/>
          <w:sz w:val="24"/>
          <w:shd w:val="clear" w:color="auto" w:fill="auto"/>
        </w:rPr>
        <mc:AlternateContent>
          <mc:Choice Requires="wps">
            <w:drawing>
              <wp:anchor distT="0" distB="0" distL="114300" distR="114300" simplePos="0" relativeHeight="251677696" behindDoc="0" locked="0" layoutInCell="1" allowOverlap="1">
                <wp:simplePos x="0" y="0"/>
                <wp:positionH relativeFrom="column">
                  <wp:posOffset>1656715</wp:posOffset>
                </wp:positionH>
                <wp:positionV relativeFrom="paragraph">
                  <wp:posOffset>251460</wp:posOffset>
                </wp:positionV>
                <wp:extent cx="800100" cy="323850"/>
                <wp:effectExtent l="4445" t="4445" r="18415" b="6985"/>
                <wp:wrapNone/>
                <wp:docPr id="99" name="矩形 99"/>
                <wp:cNvGraphicFramePr/>
                <a:graphic xmlns:a="http://schemas.openxmlformats.org/drawingml/2006/main">
                  <a:graphicData uri="http://schemas.microsoft.com/office/word/2010/wordprocessingShape">
                    <wps:wsp>
                      <wps:cNvSpPr/>
                      <wps:spPr>
                        <a:xfrm>
                          <a:off x="0" y="0"/>
                          <a:ext cx="8001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冷却水</w:t>
                            </w:r>
                          </w:p>
                        </w:txbxContent>
                      </wps:txbx>
                      <wps:bodyPr upright="1"/>
                    </wps:wsp>
                  </a:graphicData>
                </a:graphic>
              </wp:anchor>
            </w:drawing>
          </mc:Choice>
          <mc:Fallback>
            <w:pict>
              <v:rect id="_x0000_s1026" o:spid="_x0000_s1026" o:spt="1" style="position:absolute;left:0pt;margin-left:130.45pt;margin-top:19.8pt;height:25.5pt;width:63pt;z-index:251677696;mso-width-relative:page;mso-height-relative:page;" fillcolor="#FFFFFF" filled="t" stroked="t" coordsize="21600,21600" o:gfxdata="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4iT2vXAAAACQEAAA8AAAAAAAAAAQAgAAAAIgAAAGRycy9k&#10;b3ducmV2LnhtbFBLAQIUABQAAAAIAIdO4kB8GcqJAwIAACoEAAAOAAAAAAAAAAEAIAAAACYBAABk&#10;cnMvZTJvRG9jLnhtbFBLBQYAAAAABgAGAFkBAACbBQAAAAA=&#10;">
                <v:fill on="t" focussize="0,0"/>
                <v:stroke color="#000000" joinstyle="miter"/>
                <v:imagedata o:title=""/>
                <o:lock v:ext="edit" aspectratio="f"/>
                <v:textbox>
                  <w:txbxContent>
                    <w:p>
                      <w:r>
                        <w:rPr>
                          <w:rFonts w:hint="eastAsia"/>
                        </w:rPr>
                        <w:t>冷却水</w:t>
                      </w:r>
                    </w:p>
                  </w:txbxContent>
                </v:textbox>
              </v:rect>
            </w:pict>
          </mc:Fallback>
        </mc:AlternateContent>
      </w:r>
    </w:p>
    <w:p>
      <w:pPr>
        <w:pStyle w:val="2"/>
        <w:rPr>
          <w:color w:val="000000"/>
          <w:szCs w:val="24"/>
          <w:shd w:val="clear" w:color="auto" w:fill="auto"/>
        </w:rPr>
      </w:pPr>
      <w:r>
        <w:rPr>
          <w:color w:val="000000"/>
          <w:shd w:val="clear" w:color="auto" w:fill="auto"/>
        </w:rPr>
        <mc:AlternateContent>
          <mc:Choice Requires="wps">
            <w:drawing>
              <wp:anchor distT="0" distB="0" distL="114300" distR="114300" simplePos="0" relativeHeight="251679744" behindDoc="0" locked="0" layoutInCell="1" allowOverlap="1">
                <wp:simplePos x="0" y="0"/>
                <wp:positionH relativeFrom="column">
                  <wp:posOffset>2720975</wp:posOffset>
                </wp:positionH>
                <wp:positionV relativeFrom="paragraph">
                  <wp:posOffset>173990</wp:posOffset>
                </wp:positionV>
                <wp:extent cx="3175" cy="288290"/>
                <wp:effectExtent l="4445" t="0" r="7620" b="1270"/>
                <wp:wrapNone/>
                <wp:docPr id="88" name="直接连接符 88"/>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14.25pt;margin-top:13.7pt;height:22.7pt;width:0.25pt;z-index:251679744;mso-width-relative:page;mso-height-relative:page;" filled="f" stroked="t" coordsize="21600,21600" o:gfxdata="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ryd1NgAAAAJAQAADwAAAAAAAAABACAAAAAiAAAAZHJzL2Rv&#10;d25yZXYueG1sUEsBAhQAFAAAAAgAh07iQCxsLpQBAgAA8gMAAA4AAAAAAAAAAQAgAAAAJwEAAGRy&#10;cy9lMm9Eb2MueG1sUEsFBgAAAAAGAAYAWQEAAJoFAAAAAA==&#10;">
                <v:fill on="f" focussize="0,0"/>
                <v:stroke color="#000000" joinstyle="round"/>
                <v:imagedata o:title=""/>
                <o:lock v:ext="edit" aspectratio="f"/>
              </v:line>
            </w:pict>
          </mc:Fallback>
        </mc:AlternateContent>
      </w:r>
      <w:r>
        <w:rPr>
          <w:color w:val="000000"/>
          <w:shd w:val="clear" w:color="auto" w:fill="auto"/>
        </w:rPr>
        <mc:AlternateContent>
          <mc:Choice Requires="wps">
            <w:drawing>
              <wp:anchor distT="0" distB="0" distL="114300" distR="114300" simplePos="0" relativeHeight="251678720" behindDoc="0" locked="0" layoutInCell="1" allowOverlap="1">
                <wp:simplePos x="0" y="0"/>
                <wp:positionH relativeFrom="column">
                  <wp:posOffset>2463800</wp:posOffset>
                </wp:positionH>
                <wp:positionV relativeFrom="paragraph">
                  <wp:posOffset>165100</wp:posOffset>
                </wp:positionV>
                <wp:extent cx="259715" cy="635"/>
                <wp:effectExtent l="0" t="0" r="0" b="0"/>
                <wp:wrapNone/>
                <wp:docPr id="93" name="直接连接符 93"/>
                <wp:cNvGraphicFramePr/>
                <a:graphic xmlns:a="http://schemas.openxmlformats.org/drawingml/2006/main">
                  <a:graphicData uri="http://schemas.microsoft.com/office/word/2010/wordprocessingShape">
                    <wps:wsp>
                      <wps:cNvCnPr/>
                      <wps:spPr>
                        <a:xfrm>
                          <a:off x="0" y="0"/>
                          <a:ext cx="2597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4pt;margin-top:13pt;height:0.05pt;width:20.45pt;z-index:251678720;mso-width-relative:page;mso-height-relative:page;" filled="f" stroked="t" coordsize="21600,21600" o:gfxdata="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OZvDYAAAACQEAAA8AAAAAAAAAAQAgAAAAIgAAAGRycy9kb3ducmV2LnhtbFBL&#10;AQIUABQAAAAIAIdO4kAZicJg9gEAAOcDAAAOAAAAAAAAAAEAIAAAACcBAABkcnMvZTJvRG9jLnht&#10;bFBLBQYAAAAABgAGAFkBAACPBQAAAAA=&#10;">
                <v:fill on="f" focussize="0,0"/>
                <v:stroke color="#000000" joinstyle="round"/>
                <v:imagedata o:title=""/>
                <o:lock v:ext="edit" aspectratio="f"/>
              </v:line>
            </w:pict>
          </mc:Fallback>
        </mc:AlternateContent>
      </w:r>
      <w:r>
        <w:rPr>
          <w:color w:val="000000"/>
          <w:shd w:val="clear" w:color="auto" w:fill="auto"/>
        </w:rPr>
        <mc:AlternateContent>
          <mc:Choice Requires="wps">
            <w:drawing>
              <wp:anchor distT="0" distB="0" distL="114300" distR="114300" simplePos="0" relativeHeight="251676672" behindDoc="0" locked="0" layoutInCell="1" allowOverlap="1">
                <wp:simplePos x="0" y="0"/>
                <wp:positionH relativeFrom="column">
                  <wp:posOffset>1113155</wp:posOffset>
                </wp:positionH>
                <wp:positionV relativeFrom="paragraph">
                  <wp:posOffset>148590</wp:posOffset>
                </wp:positionV>
                <wp:extent cx="552450" cy="0"/>
                <wp:effectExtent l="0" t="38100" r="11430" b="38100"/>
                <wp:wrapNone/>
                <wp:docPr id="92" name="直接箭头连接符 92"/>
                <wp:cNvGraphicFramePr/>
                <a:graphic xmlns:a="http://schemas.openxmlformats.org/drawingml/2006/main">
                  <a:graphicData uri="http://schemas.microsoft.com/office/word/2010/wordprocessingShape">
                    <wps:wsp>
                      <wps:cNvCnPr/>
                      <wps:spPr>
                        <a:xfrm>
                          <a:off x="0" y="0"/>
                          <a:ext cx="5524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7.65pt;margin-top:11.7pt;height:0pt;width:43.5pt;z-index:251676672;mso-width-relative:page;mso-height-relative:page;" filled="f" stroked="t" coordsize="21600,21600" o:gfxdata="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IXJ1U2AAAAAkBAAAPAAAAAAAAAAEAIAAAACIAAABkcnMv&#10;ZG93bnJldi54bWxQSwECFAAUAAAACACHTuJAp1QSzwMCAADxAwAADgAAAAAAAAABACAAAAAnAQAA&#10;ZHJzL2Uyb0RvYy54bWxQSwUGAAAAAAYABgBZAQAAnAUAAAAA&#10;">
                <v:fill on="f" focussize="0,0"/>
                <v:stroke color="#000000" joinstyle="round" endarrow="block"/>
                <v:imagedata o:title=""/>
                <o:lock v:ext="edit" aspectratio="f"/>
              </v:shape>
            </w:pict>
          </mc:Fallback>
        </mc:AlternateContent>
      </w:r>
      <w:r>
        <w:rPr>
          <w:color w:val="000000"/>
          <w:shd w:val="clear" w:color="auto" w:fill="auto"/>
        </w:rPr>
        <mc:AlternateContent>
          <mc:Choice Requires="wps">
            <w:drawing>
              <wp:anchor distT="0" distB="0" distL="114300" distR="114300" simplePos="0" relativeHeight="251666432" behindDoc="0" locked="0" layoutInCell="1" allowOverlap="1">
                <wp:simplePos x="0" y="0"/>
                <wp:positionH relativeFrom="column">
                  <wp:posOffset>1110615</wp:posOffset>
                </wp:positionH>
                <wp:positionV relativeFrom="paragraph">
                  <wp:posOffset>156210</wp:posOffset>
                </wp:positionV>
                <wp:extent cx="2540" cy="1134745"/>
                <wp:effectExtent l="4445" t="0" r="8255" b="8255"/>
                <wp:wrapNone/>
                <wp:docPr id="89" name="直接箭头连接符 89"/>
                <wp:cNvGraphicFramePr/>
                <a:graphic xmlns:a="http://schemas.openxmlformats.org/drawingml/2006/main">
                  <a:graphicData uri="http://schemas.microsoft.com/office/word/2010/wordprocessingShape">
                    <wps:wsp>
                      <wps:cNvCnPr/>
                      <wps:spPr>
                        <a:xfrm flipH="1">
                          <a:off x="0" y="0"/>
                          <a:ext cx="2540" cy="11347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87.45pt;margin-top:12.3pt;height:89.35pt;width:0.2pt;z-index:251666432;mso-width-relative:page;mso-height-relative:page;" filled="f" stroked="t" coordsize="21600,21600" o:gfxdata="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19cntcAAAAKAQAADwAAAAAAAAABACAAAAAiAAAA&#10;ZHJzL2Rvd25yZXYueG1sUEsBAhQAFAAAAAgAh07iQGSk9joIAgAA+wMAAA4AAAAAAAAAAQAgAAAA&#10;JgEAAGRycy9lMm9Eb2MueG1sUEsFBgAAAAAGAAYAWQEAAKAFAAAAAA==&#10;">
                <v:fill on="f" focussize="0,0"/>
                <v:stroke color="#000000" joinstyle="round"/>
                <v:imagedata o:title=""/>
                <o:lock v:ext="edit" aspectratio="f"/>
              </v:shape>
            </w:pict>
          </mc:Fallback>
        </mc:AlternateContent>
      </w:r>
    </w:p>
    <w:p>
      <w:pPr>
        <w:pStyle w:val="2"/>
        <w:rPr>
          <w:color w:val="000000"/>
          <w:szCs w:val="24"/>
          <w:shd w:val="clear" w:color="auto" w:fill="auto"/>
        </w:rPr>
      </w:pPr>
      <w:r>
        <w:rPr>
          <w:color w:val="000000"/>
          <w:shd w:val="clear" w:color="auto" w:fill="auto"/>
        </w:rPr>
        <mc:AlternateContent>
          <mc:Choice Requires="wps">
            <w:drawing>
              <wp:anchor distT="0" distB="0" distL="114300" distR="114300" simplePos="0" relativeHeight="251680768" behindDoc="0" locked="0" layoutInCell="1" allowOverlap="1">
                <wp:simplePos x="0" y="0"/>
                <wp:positionH relativeFrom="column">
                  <wp:posOffset>2247900</wp:posOffset>
                </wp:positionH>
                <wp:positionV relativeFrom="paragraph">
                  <wp:posOffset>92710</wp:posOffset>
                </wp:positionV>
                <wp:extent cx="8255" cy="181610"/>
                <wp:effectExtent l="45085" t="0" r="53340" b="1270"/>
                <wp:wrapNone/>
                <wp:docPr id="91" name="直接连接符 91"/>
                <wp:cNvGraphicFramePr/>
                <a:graphic xmlns:a="http://schemas.openxmlformats.org/drawingml/2006/main">
                  <a:graphicData uri="http://schemas.microsoft.com/office/word/2010/wordprocessingShape">
                    <wps:wsp>
                      <wps:cNvCnPr/>
                      <wps:spPr>
                        <a:xfrm flipH="1" flipV="1">
                          <a:off x="0" y="0"/>
                          <a:ext cx="8255" cy="1816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77pt;margin-top:7.3pt;height:14.3pt;width:0.65pt;z-index:251680768;mso-width-relative:page;mso-height-relative:page;" filled="f" stroked="t" coordsize="21600,21600" o:gfxdata="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yb2ANkAAAAJAQAADwAAAAAAAAABACAAAAAi&#10;AAAAZHJzL2Rvd25yZXYueG1sUEsBAhQAFAAAAAgAh07iQBOBk/YJAgAA/QMAAA4AAAAAAAAAAQAg&#10;AAAAKAEAAGRycy9lMm9Eb2MueG1sUEsFBgAAAAAGAAYAWQEAAKMFAAAAAA==&#10;">
                <v:fill on="f" focussize="0,0"/>
                <v:stroke color="#000000" joinstyle="round" endarrow="open"/>
                <v:imagedata o:title=""/>
                <o:lock v:ext="edit" aspectratio="f"/>
              </v:line>
            </w:pict>
          </mc:Fallback>
        </mc:AlternateContent>
      </w:r>
    </w:p>
    <w:p>
      <w:pPr>
        <w:pStyle w:val="2"/>
        <w:rPr>
          <w:color w:val="000000"/>
          <w:szCs w:val="24"/>
          <w:shd w:val="clear" w:color="auto" w:fill="auto"/>
        </w:rPr>
      </w:pPr>
      <w:r>
        <w:rPr>
          <w:color w:val="000000"/>
          <w:shd w:val="clear" w:color="auto" w:fill="auto"/>
        </w:rPr>
        <mc:AlternateContent>
          <mc:Choice Requires="wps">
            <w:drawing>
              <wp:anchor distT="0" distB="0" distL="114300" distR="114300" simplePos="0" relativeHeight="251681792" behindDoc="0" locked="0" layoutInCell="1" allowOverlap="1">
                <wp:simplePos x="0" y="0"/>
                <wp:positionH relativeFrom="column">
                  <wp:posOffset>2256155</wp:posOffset>
                </wp:positionH>
                <wp:positionV relativeFrom="paragraph">
                  <wp:posOffset>60325</wp:posOffset>
                </wp:positionV>
                <wp:extent cx="466725" cy="5080"/>
                <wp:effectExtent l="0" t="0" r="0" b="0"/>
                <wp:wrapNone/>
                <wp:docPr id="85" name="直接连接符 85"/>
                <wp:cNvGraphicFramePr/>
                <a:graphic xmlns:a="http://schemas.openxmlformats.org/drawingml/2006/main">
                  <a:graphicData uri="http://schemas.microsoft.com/office/word/2010/wordprocessingShape">
                    <wps:wsp>
                      <wps:cNvCnPr/>
                      <wps:spPr>
                        <a:xfrm flipV="1">
                          <a:off x="0" y="0"/>
                          <a:ext cx="466725" cy="5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77.65pt;margin-top:4.75pt;height:0.4pt;width:36.75pt;z-index:251681792;mso-width-relative:page;mso-height-relative:page;" filled="f" stroked="t" coordsize="21600,21600" o:gfxdata="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sN9+1gAAAAgBAAAPAAAAAAAAAAEAIAAAACIAAABkcnMvZG93bnJl&#10;di54bWxQSwECFAAUAAAACACHTuJA7ugIP/8BAADyAwAADgAAAAAAAAABACAAAAAlAQAAZHJzL2Uy&#10;b0RvYy54bWxQSwUGAAAAAAYABgBZAQAAlgUAAAAA&#10;">
                <v:fill on="f" focussize="0,0"/>
                <v:stroke color="#000000" joinstyle="round"/>
                <v:imagedata o:title=""/>
                <o:lock v:ext="edit" aspectratio="f"/>
              </v:line>
            </w:pict>
          </mc:Fallback>
        </mc:AlternateContent>
      </w:r>
      <w:r>
        <w:rPr>
          <w:color w:val="000000"/>
          <w:shd w:val="clear" w:color="auto" w:fill="auto"/>
        </w:rPr>
        <mc:AlternateContent>
          <mc:Choice Requires="wps">
            <w:drawing>
              <wp:anchor distT="0" distB="0" distL="114300" distR="114300" simplePos="0" relativeHeight="251665408" behindDoc="0" locked="0" layoutInCell="1" allowOverlap="1">
                <wp:simplePos x="0" y="0"/>
                <wp:positionH relativeFrom="column">
                  <wp:posOffset>808990</wp:posOffset>
                </wp:positionH>
                <wp:positionV relativeFrom="paragraph">
                  <wp:posOffset>191770</wp:posOffset>
                </wp:positionV>
                <wp:extent cx="285750" cy="635"/>
                <wp:effectExtent l="0" t="38100" r="3810" b="37465"/>
                <wp:wrapNone/>
                <wp:docPr id="83" name="直接连接符 83"/>
                <wp:cNvGraphicFramePr/>
                <a:graphic xmlns:a="http://schemas.openxmlformats.org/drawingml/2006/main">
                  <a:graphicData uri="http://schemas.microsoft.com/office/word/2010/wordprocessingShape">
                    <wps:wsp>
                      <wps:cNvCnPr/>
                      <wps:spPr>
                        <a:xfrm flipH="1">
                          <a:off x="0" y="0"/>
                          <a:ext cx="285750" cy="63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x;margin-left:63.7pt;margin-top:15.1pt;height:0.05pt;width:22.5pt;z-index:251665408;mso-width-relative:page;mso-height-relative:page;" filled="f" stroked="t" coordsize="21600,21600" o:gfxdata="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y1UM1QAAAAkBAAAPAAAAAAAAAAEAIAAAACIAAABkcnMv&#10;ZG93bnJldi54bWxQSwECFAAUAAAACACHTuJA4EMstwYCAAD1AwAADgAAAAAAAAABACAAAAAkAQAA&#10;ZHJzL2Uyb0RvYy54bWxQSwUGAAAAAAYABgBZAQAAnAUAAAAA&#10;">
                <v:fill on="f" focussize="0,0"/>
                <v:stroke color="#000000" joinstyle="round" startarrow="block"/>
                <v:imagedata o:title=""/>
                <o:lock v:ext="edit" aspectratio="f"/>
              </v:line>
            </w:pict>
          </mc:Fallback>
        </mc:AlternateContent>
      </w:r>
      <w:r>
        <w:rPr>
          <w:color w:val="000000"/>
          <w:u w:val="none" w:color="000000"/>
          <w:shd w:val="clear" w:color="auto" w:fill="auto"/>
        </w:rPr>
        <mc:AlternateContent>
          <mc:Choice Requires="wps">
            <w:drawing>
              <wp:anchor distT="0" distB="0" distL="114300" distR="114300" simplePos="0" relativeHeight="251664384" behindDoc="0" locked="0" layoutInCell="1" allowOverlap="1">
                <wp:simplePos x="0" y="0"/>
                <wp:positionH relativeFrom="column">
                  <wp:posOffset>-69215</wp:posOffset>
                </wp:positionH>
                <wp:positionV relativeFrom="paragraph">
                  <wp:posOffset>58420</wp:posOffset>
                </wp:positionV>
                <wp:extent cx="847725" cy="333375"/>
                <wp:effectExtent l="0" t="0" r="0" b="0"/>
                <wp:wrapNone/>
                <wp:docPr id="84" name="矩形 84"/>
                <wp:cNvGraphicFramePr/>
                <a:graphic xmlns:a="http://schemas.openxmlformats.org/drawingml/2006/main">
                  <a:graphicData uri="http://schemas.microsoft.com/office/word/2010/wordprocessingShape">
                    <wps:wsp>
                      <wps:cNvSpPr/>
                      <wps:spPr>
                        <a:xfrm>
                          <a:off x="0" y="0"/>
                          <a:ext cx="847725" cy="333375"/>
                        </a:xfrm>
                        <a:prstGeom prst="rect">
                          <a:avLst/>
                        </a:prstGeom>
                        <a:noFill/>
                        <a:ln>
                          <a:noFill/>
                        </a:ln>
                      </wps:spPr>
                      <wps:txbx>
                        <w:txbxContent>
                          <w:p>
                            <w:r>
                              <w:t>新鲜水</w:t>
                            </w:r>
                            <w:r>
                              <w:rPr>
                                <w:rFonts w:hint="eastAsia"/>
                              </w:rPr>
                              <w:t>408</w:t>
                            </w:r>
                          </w:p>
                        </w:txbxContent>
                      </wps:txbx>
                      <wps:bodyPr upright="1"/>
                    </wps:wsp>
                  </a:graphicData>
                </a:graphic>
              </wp:anchor>
            </w:drawing>
          </mc:Choice>
          <mc:Fallback>
            <w:pict>
              <v:rect id="_x0000_s1026" o:spid="_x0000_s1026" o:spt="1" style="position:absolute;left:0pt;margin-left:-5.45pt;margin-top:4.6pt;height:26.25pt;width:66.75pt;z-index:251664384;mso-width-relative:page;mso-height-relative:page;" filled="f" stroked="f" coordsize="21600,21600" o:gfxdata="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aZQuNkAAAAIAQAADwAA&#10;AAAAAAABACAAAAAiAAAAZHJzL2Rvd25yZXYueG1sUEsBAhQAFAAAAAgAh07iQCORfJmjAQAAQgMA&#10;AA4AAAAAAAAAAQAgAAAAKAEAAGRycy9lMm9Eb2MueG1sUEsFBgAAAAAGAAYAWQEAAD0FAAAAAA==&#10;">
                <v:fill on="f" focussize="0,0"/>
                <v:stroke on="f"/>
                <v:imagedata o:title=""/>
                <o:lock v:ext="edit" aspectratio="f"/>
                <v:textbox>
                  <w:txbxContent>
                    <w:p>
                      <w:r>
                        <w:t>新鲜水</w:t>
                      </w:r>
                      <w:r>
                        <w:rPr>
                          <w:rFonts w:hint="eastAsia"/>
                        </w:rPr>
                        <w:t>408</w:t>
                      </w:r>
                    </w:p>
                  </w:txbxContent>
                </v:textbox>
              </v:rect>
            </w:pict>
          </mc:Fallback>
        </mc:AlternateContent>
      </w:r>
    </w:p>
    <w:p>
      <w:pPr>
        <w:pStyle w:val="2"/>
        <w:rPr>
          <w:color w:val="000000"/>
          <w:szCs w:val="24"/>
          <w:shd w:val="clear" w:color="auto" w:fill="auto"/>
        </w:rPr>
      </w:pPr>
      <w:r>
        <w:rPr>
          <w:color w:val="000000"/>
          <w:shd w:val="clear" w:color="auto" w:fill="auto"/>
        </w:rPr>
        <mc:AlternateContent>
          <mc:Choice Requires="wps">
            <w:drawing>
              <wp:anchor distT="0" distB="0" distL="114300" distR="114300" simplePos="0" relativeHeight="251674624" behindDoc="0" locked="0" layoutInCell="1" allowOverlap="1">
                <wp:simplePos x="0" y="0"/>
                <wp:positionH relativeFrom="column">
                  <wp:posOffset>2070100</wp:posOffset>
                </wp:positionH>
                <wp:positionV relativeFrom="paragraph">
                  <wp:posOffset>71120</wp:posOffset>
                </wp:positionV>
                <wp:extent cx="819150" cy="333375"/>
                <wp:effectExtent l="0" t="0" r="0" b="0"/>
                <wp:wrapNone/>
                <wp:docPr id="86" name="矩形 86"/>
                <wp:cNvGraphicFramePr/>
                <a:graphic xmlns:a="http://schemas.openxmlformats.org/drawingml/2006/main">
                  <a:graphicData uri="http://schemas.microsoft.com/office/word/2010/wordprocessingShape">
                    <wps:wsp>
                      <wps:cNvSpPr/>
                      <wps:spPr>
                        <a:xfrm>
                          <a:off x="0" y="0"/>
                          <a:ext cx="819150" cy="333375"/>
                        </a:xfrm>
                        <a:prstGeom prst="rect">
                          <a:avLst/>
                        </a:prstGeom>
                        <a:noFill/>
                        <a:ln>
                          <a:noFill/>
                        </a:ln>
                      </wps:spPr>
                      <wps:txbx>
                        <w:txbxContent>
                          <w:p>
                            <w:r>
                              <w:t>损耗</w:t>
                            </w:r>
                            <w:r>
                              <w:rPr>
                                <w:rFonts w:hint="eastAsia"/>
                              </w:rPr>
                              <w:t>57.6</w:t>
                            </w:r>
                          </w:p>
                        </w:txbxContent>
                      </wps:txbx>
                      <wps:bodyPr upright="1"/>
                    </wps:wsp>
                  </a:graphicData>
                </a:graphic>
              </wp:anchor>
            </w:drawing>
          </mc:Choice>
          <mc:Fallback>
            <w:pict>
              <v:rect id="_x0000_s1026" o:spid="_x0000_s1026" o:spt="1" style="position:absolute;left:0pt;margin-left:163pt;margin-top:5.6pt;height:26.25pt;width:64.5pt;z-index:251674624;mso-width-relative:page;mso-height-relative:page;" filled="f" stroked="f" coordsize="21600,21600" o:gfxdata="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GB+wJ9oAAAAJAQAADwAA&#10;AAAAAAABACAAAAAiAAAAZHJzL2Rvd25yZXYueG1sUEsBAhQAFAAAAAgAh07iQLxMHfyiAQAAQgMA&#10;AA4AAAAAAAAAAQAgAAAAKQEAAGRycy9lMm9Eb2MueG1sUEsFBgAAAAAGAAYAWQEAAD0FAAAAAA==&#10;">
                <v:fill on="f" focussize="0,0"/>
                <v:stroke on="f"/>
                <v:imagedata o:title=""/>
                <o:lock v:ext="edit" aspectratio="f"/>
                <v:textbox>
                  <w:txbxContent>
                    <w:p>
                      <w:r>
                        <w:t>损耗</w:t>
                      </w:r>
                      <w:r>
                        <w:rPr>
                          <w:rFonts w:hint="eastAsia"/>
                        </w:rPr>
                        <w:t>57.6</w:t>
                      </w:r>
                    </w:p>
                  </w:txbxContent>
                </v:textbox>
              </v:rect>
            </w:pict>
          </mc:Fallback>
        </mc:AlternateContent>
      </w:r>
    </w:p>
    <w:p>
      <w:pPr>
        <w:pStyle w:val="2"/>
        <w:rPr>
          <w:color w:val="000000"/>
          <w:szCs w:val="24"/>
          <w:shd w:val="clear" w:color="auto" w:fill="auto"/>
        </w:rPr>
      </w:pPr>
      <w:r>
        <w:rPr>
          <w:color w:val="000000"/>
          <w:shd w:val="clear" w:color="auto" w:fill="auto"/>
        </w:rPr>
        <mc:AlternateContent>
          <mc:Choice Requires="wps">
            <w:drawing>
              <wp:anchor distT="0" distB="0" distL="114300" distR="114300" simplePos="0" relativeHeight="251672576" behindDoc="0" locked="0" layoutInCell="1" allowOverlap="1">
                <wp:simplePos x="0" y="0"/>
                <wp:positionH relativeFrom="column">
                  <wp:posOffset>2456180</wp:posOffset>
                </wp:positionH>
                <wp:positionV relativeFrom="paragraph">
                  <wp:posOffset>120650</wp:posOffset>
                </wp:positionV>
                <wp:extent cx="527050" cy="419100"/>
                <wp:effectExtent l="0" t="0" r="0" b="0"/>
                <wp:wrapNone/>
                <wp:docPr id="80" name="矩形 80"/>
                <wp:cNvGraphicFramePr/>
                <a:graphic xmlns:a="http://schemas.openxmlformats.org/drawingml/2006/main">
                  <a:graphicData uri="http://schemas.microsoft.com/office/word/2010/wordprocessingShape">
                    <wps:wsp>
                      <wps:cNvSpPr/>
                      <wps:spPr>
                        <a:xfrm>
                          <a:off x="0" y="0"/>
                          <a:ext cx="527050" cy="419100"/>
                        </a:xfrm>
                        <a:prstGeom prst="rect">
                          <a:avLst/>
                        </a:prstGeom>
                        <a:noFill/>
                        <a:ln>
                          <a:noFill/>
                        </a:ln>
                      </wps:spPr>
                      <wps:txbx>
                        <w:txbxContent>
                          <w:p>
                            <w:r>
                              <w:rPr>
                                <w:rFonts w:hint="eastAsia"/>
                              </w:rPr>
                              <w:t>230.4</w:t>
                            </w:r>
                          </w:p>
                        </w:txbxContent>
                      </wps:txbx>
                      <wps:bodyPr upright="1"/>
                    </wps:wsp>
                  </a:graphicData>
                </a:graphic>
              </wp:anchor>
            </w:drawing>
          </mc:Choice>
          <mc:Fallback>
            <w:pict>
              <v:rect id="_x0000_s1026" o:spid="_x0000_s1026" o:spt="1" style="position:absolute;left:0pt;margin-left:193.4pt;margin-top:9.5pt;height:33pt;width:41.5pt;z-index:251672576;mso-width-relative:page;mso-height-relative:page;" filled="f" stroked="f" coordsize="21600,21600" o:gfxdata="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NISrRtoAAAAJAQAADwAA&#10;AAAAAAABACAAAAAiAAAAZHJzL2Rvd25yZXYueG1sUEsBAhQAFAAAAAgAh07iQBGVIqGiAQAAQgMA&#10;AA4AAAAAAAAAAQAgAAAAKQEAAGRycy9lMm9Eb2MueG1sUEsFBgAAAAAGAAYAWQEAAD0FAAAAAA==&#10;">
                <v:fill on="f" focussize="0,0"/>
                <v:stroke on="f"/>
                <v:imagedata o:title=""/>
                <o:lock v:ext="edit" aspectratio="f"/>
                <v:textbox>
                  <w:txbxContent>
                    <w:p>
                      <w:r>
                        <w:rPr>
                          <w:rFonts w:hint="eastAsia"/>
                        </w:rPr>
                        <w:t>230.4</w:t>
                      </w:r>
                    </w:p>
                  </w:txbxContent>
                </v:textbox>
              </v:rect>
            </w:pict>
          </mc:Fallback>
        </mc:AlternateContent>
      </w:r>
      <w:r>
        <w:rPr>
          <w:color w:val="000000"/>
          <w:shd w:val="clear" w:color="auto" w:fill="auto"/>
        </w:rPr>
        <mc:AlternateContent>
          <mc:Choice Requires="wps">
            <w:drawing>
              <wp:anchor distT="0" distB="0" distL="114300" distR="114300" simplePos="0" relativeHeight="251673600" behindDoc="0" locked="0" layoutInCell="1" allowOverlap="1">
                <wp:simplePos x="0" y="0"/>
                <wp:positionH relativeFrom="column">
                  <wp:posOffset>1974850</wp:posOffset>
                </wp:positionH>
                <wp:positionV relativeFrom="paragraph">
                  <wp:posOffset>42545</wp:posOffset>
                </wp:positionV>
                <wp:extent cx="180975" cy="133350"/>
                <wp:effectExtent l="2540" t="0" r="14605" b="3810"/>
                <wp:wrapNone/>
                <wp:docPr id="98" name="直接箭头连接符 98"/>
                <wp:cNvGraphicFramePr/>
                <a:graphic xmlns:a="http://schemas.openxmlformats.org/drawingml/2006/main">
                  <a:graphicData uri="http://schemas.microsoft.com/office/word/2010/wordprocessingShape">
                    <wps:wsp>
                      <wps:cNvCnPr/>
                      <wps:spPr>
                        <a:xfrm flipV="1">
                          <a:off x="0" y="0"/>
                          <a:ext cx="180975" cy="133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55.5pt;margin-top:3.35pt;height:10.5pt;width:14.25pt;z-index:251673600;mso-width-relative:page;mso-height-relative:page;" filled="f" stroked="t" coordsize="21600,21600" o:gfxdata="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7KpCz2QAAAAgBAAAPAAAAAAAA&#10;AAEAIAAAACIAAABkcnMvZG93bnJldi54bWxQSwECFAAUAAAACACHTuJA5ybzChECAAAABAAADgAA&#10;AAAAAAABACAAAAAoAQAAZHJzL2Uyb0RvYy54bWxQSwUGAAAAAAYABgBZAQAAqwUAAAAA&#10;">
                <v:fill on="f" focussize="0,0"/>
                <v:stroke color="#000000" joinstyle="round" endarrow="block"/>
                <v:imagedata o:title=""/>
                <o:lock v:ext="edit" aspectratio="f"/>
              </v:shape>
            </w:pict>
          </mc:Fallback>
        </mc:AlternateContent>
      </w:r>
      <w:r>
        <w:rPr>
          <w:color w:val="000000"/>
          <w:shd w:val="clear" w:color="auto" w:fill="auto"/>
        </w:rPr>
        <mc:AlternateContent>
          <mc:Choice Requires="wps">
            <w:drawing>
              <wp:anchor distT="0" distB="0" distL="114300" distR="114300" simplePos="0" relativeHeight="251671552" behindDoc="0" locked="0" layoutInCell="1" allowOverlap="1">
                <wp:simplePos x="0" y="0"/>
                <wp:positionH relativeFrom="column">
                  <wp:posOffset>1178560</wp:posOffset>
                </wp:positionH>
                <wp:positionV relativeFrom="paragraph">
                  <wp:posOffset>128270</wp:posOffset>
                </wp:positionV>
                <wp:extent cx="457835" cy="513715"/>
                <wp:effectExtent l="0" t="0" r="0" b="0"/>
                <wp:wrapNone/>
                <wp:docPr id="87" name="矩形 87"/>
                <wp:cNvGraphicFramePr/>
                <a:graphic xmlns:a="http://schemas.openxmlformats.org/drawingml/2006/main">
                  <a:graphicData uri="http://schemas.microsoft.com/office/word/2010/wordprocessingShape">
                    <wps:wsp>
                      <wps:cNvSpPr/>
                      <wps:spPr>
                        <a:xfrm>
                          <a:off x="0" y="0"/>
                          <a:ext cx="457835" cy="513715"/>
                        </a:xfrm>
                        <a:prstGeom prst="rect">
                          <a:avLst/>
                        </a:prstGeom>
                        <a:noFill/>
                        <a:ln>
                          <a:noFill/>
                        </a:ln>
                      </wps:spPr>
                      <wps:txbx>
                        <w:txbxContent>
                          <w:p>
                            <w:r>
                              <w:rPr>
                                <w:rFonts w:hint="eastAsia"/>
                              </w:rPr>
                              <w:t>288</w:t>
                            </w:r>
                          </w:p>
                        </w:txbxContent>
                      </wps:txbx>
                      <wps:bodyPr upright="1"/>
                    </wps:wsp>
                  </a:graphicData>
                </a:graphic>
              </wp:anchor>
            </w:drawing>
          </mc:Choice>
          <mc:Fallback>
            <w:pict>
              <v:rect id="_x0000_s1026" o:spid="_x0000_s1026" o:spt="1" style="position:absolute;left:0pt;margin-left:92.8pt;margin-top:10.1pt;height:40.45pt;width:36.05pt;z-index:251671552;mso-width-relative:page;mso-height-relative:page;" filled="f" stroked="f" coordsize="21600,21600" o:gfxdata="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GYCBX2QAAAAoBAAAPAAAA&#10;AAAAAAEAIAAAACIAAABkcnMvZG93bnJldi54bWxQSwECFAAUAAAACACHTuJAQPMcmaIBAABCAwAA&#10;DgAAAAAAAAABACAAAAAoAQAAZHJzL2Uyb0RvYy54bWxQSwUGAAAAAAYABgBZAQAAPAUAAAAA&#10;">
                <v:fill on="f" focussize="0,0"/>
                <v:stroke on="f"/>
                <v:imagedata o:title=""/>
                <o:lock v:ext="edit" aspectratio="f"/>
                <v:textbox>
                  <w:txbxContent>
                    <w:p>
                      <w:r>
                        <w:rPr>
                          <w:rFonts w:hint="eastAsia"/>
                        </w:rPr>
                        <w:t>288</w:t>
                      </w:r>
                    </w:p>
                  </w:txbxContent>
                </v:textbox>
              </v:rect>
            </w:pict>
          </mc:Fallback>
        </mc:AlternateContent>
      </w:r>
      <w:r>
        <w:rPr>
          <w:color w:val="000000"/>
          <w:shd w:val="clear" w:color="auto" w:fill="auto"/>
        </w:rPr>
        <mc:AlternateContent>
          <mc:Choice Requires="wps">
            <w:drawing>
              <wp:anchor distT="0" distB="0" distL="114300" distR="114300" simplePos="0" relativeHeight="251668480" behindDoc="0" locked="0" layoutInCell="1" allowOverlap="1">
                <wp:simplePos x="0" y="0"/>
                <wp:positionH relativeFrom="column">
                  <wp:posOffset>1660525</wp:posOffset>
                </wp:positionH>
                <wp:positionV relativeFrom="paragraph">
                  <wp:posOffset>210185</wp:posOffset>
                </wp:positionV>
                <wp:extent cx="800100" cy="323850"/>
                <wp:effectExtent l="4445" t="4445" r="18415" b="6985"/>
                <wp:wrapNone/>
                <wp:docPr id="94" name="矩形 94"/>
                <wp:cNvGraphicFramePr/>
                <a:graphic xmlns:a="http://schemas.openxmlformats.org/drawingml/2006/main">
                  <a:graphicData uri="http://schemas.microsoft.com/office/word/2010/wordprocessingShape">
                    <wps:wsp>
                      <wps:cNvSpPr/>
                      <wps:spPr>
                        <a:xfrm>
                          <a:off x="0" y="0"/>
                          <a:ext cx="8001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t>生活用水</w:t>
                            </w:r>
                          </w:p>
                        </w:txbxContent>
                      </wps:txbx>
                      <wps:bodyPr upright="1"/>
                    </wps:wsp>
                  </a:graphicData>
                </a:graphic>
              </wp:anchor>
            </w:drawing>
          </mc:Choice>
          <mc:Fallback>
            <w:pict>
              <v:rect id="_x0000_s1026" o:spid="_x0000_s1026" o:spt="1" style="position:absolute;left:0pt;margin-left:130.75pt;margin-top:16.55pt;height:25.5pt;width:63pt;z-index:251668480;mso-width-relative:page;mso-height-relative:page;" fillcolor="#FFFFFF" filled="t" stroked="t" coordsize="21600,21600" o:gfxdata="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K7GJ2AAAAAkBAAAPAAAAAAAAAAEAIAAAACIAAABkcnMv&#10;ZG93bnJldi54bWxQSwECFAAUAAAACACHTuJAjp6wVwMCAAAqBAAADgAAAAAAAAABACAAAAAnAQAA&#10;ZHJzL2Uyb0RvYy54bWxQSwUGAAAAAAYABgBZAQAAnAUAAAAA&#10;">
                <v:fill on="t" focussize="0,0"/>
                <v:stroke color="#000000" joinstyle="miter"/>
                <v:imagedata o:title=""/>
                <o:lock v:ext="edit" aspectratio="f"/>
                <v:textbox>
                  <w:txbxContent>
                    <w:p>
                      <w:r>
                        <w:t>生活用水</w:t>
                      </w:r>
                    </w:p>
                  </w:txbxContent>
                </v:textbox>
              </v:rect>
            </w:pict>
          </mc:Fallback>
        </mc:AlternateContent>
      </w:r>
    </w:p>
    <w:p>
      <w:pPr>
        <w:pStyle w:val="2"/>
        <w:ind w:firstLine="422"/>
        <w:jc w:val="center"/>
        <w:rPr>
          <w:b/>
          <w:color w:val="000000"/>
          <w:szCs w:val="24"/>
          <w:shd w:val="clear" w:color="auto" w:fill="auto"/>
        </w:rPr>
      </w:pPr>
      <w:r>
        <w:rPr>
          <w:color w:val="000000"/>
          <w:shd w:val="clear" w:color="auto" w:fill="auto"/>
        </w:rPr>
        <mc:AlternateContent>
          <mc:Choice Requires="wps">
            <w:drawing>
              <wp:anchor distT="0" distB="0" distL="114300" distR="114300" simplePos="0" relativeHeight="251670528" behindDoc="0" locked="0" layoutInCell="1" allowOverlap="1">
                <wp:simplePos x="0" y="0"/>
                <wp:positionH relativeFrom="column">
                  <wp:posOffset>2984500</wp:posOffset>
                </wp:positionH>
                <wp:positionV relativeFrom="paragraph">
                  <wp:posOffset>19685</wp:posOffset>
                </wp:positionV>
                <wp:extent cx="2075815" cy="323850"/>
                <wp:effectExtent l="0" t="0" r="0" b="0"/>
                <wp:wrapNone/>
                <wp:docPr id="95" name="矩形 95"/>
                <wp:cNvGraphicFramePr/>
                <a:graphic xmlns:a="http://schemas.openxmlformats.org/drawingml/2006/main">
                  <a:graphicData uri="http://schemas.microsoft.com/office/word/2010/wordprocessingShape">
                    <wps:wsp>
                      <wps:cNvSpPr/>
                      <wps:spPr>
                        <a:xfrm>
                          <a:off x="0" y="0"/>
                          <a:ext cx="2075815" cy="323850"/>
                        </a:xfrm>
                        <a:prstGeom prst="rect">
                          <a:avLst/>
                        </a:prstGeom>
                        <a:noFill/>
                        <a:ln>
                          <a:noFill/>
                        </a:ln>
                      </wps:spPr>
                      <wps:txbx>
                        <w:txbxContent>
                          <w:p>
                            <w:r>
                              <w:t>生活污水排入化粪池，定时清掏</w:t>
                            </w:r>
                          </w:p>
                        </w:txbxContent>
                      </wps:txbx>
                      <wps:bodyPr upright="1"/>
                    </wps:wsp>
                  </a:graphicData>
                </a:graphic>
              </wp:anchor>
            </w:drawing>
          </mc:Choice>
          <mc:Fallback>
            <w:pict>
              <v:rect id="_x0000_s1026" o:spid="_x0000_s1026" o:spt="1" style="position:absolute;left:0pt;margin-left:235pt;margin-top:1.55pt;height:25.5pt;width:163.45pt;z-index:251670528;mso-width-relative:page;mso-height-relative:page;" filled="f" stroked="f" coordsize="21600,21600" o:gfxdata="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c3GpI2gAAAAgBAAAP&#10;AAAAAAAAAAEAIAAAACIAAABkcnMvZG93bnJldi54bWxQSwECFAAUAAAACACHTuJAxDMFwqQBAABD&#10;AwAADgAAAAAAAAABACAAAAApAQAAZHJzL2Uyb0RvYy54bWxQSwUGAAAAAAYABgBZAQAAPwUAAAAA&#10;">
                <v:fill on="f" focussize="0,0"/>
                <v:stroke on="f"/>
                <v:imagedata o:title=""/>
                <o:lock v:ext="edit" aspectratio="f"/>
                <v:textbox>
                  <w:txbxContent>
                    <w:p>
                      <w:r>
                        <w:t>生活污水排入化粪池，定时清掏</w:t>
                      </w:r>
                    </w:p>
                  </w:txbxContent>
                </v:textbox>
              </v:rect>
            </w:pict>
          </mc:Fallback>
        </mc:AlternateContent>
      </w:r>
      <w:r>
        <w:rPr>
          <w:color w:val="000000"/>
          <w:shd w:val="clear" w:color="auto" w:fill="auto"/>
        </w:rPr>
        <mc:AlternateContent>
          <mc:Choice Requires="wps">
            <w:drawing>
              <wp:anchor distT="0" distB="0" distL="114300" distR="114300" simplePos="0" relativeHeight="251669504" behindDoc="0" locked="0" layoutInCell="1" allowOverlap="1">
                <wp:simplePos x="0" y="0"/>
                <wp:positionH relativeFrom="column">
                  <wp:posOffset>2460625</wp:posOffset>
                </wp:positionH>
                <wp:positionV relativeFrom="paragraph">
                  <wp:posOffset>143510</wp:posOffset>
                </wp:positionV>
                <wp:extent cx="552450" cy="0"/>
                <wp:effectExtent l="0" t="38100" r="11430" b="38100"/>
                <wp:wrapNone/>
                <wp:docPr id="97" name="直接箭头连接符 97"/>
                <wp:cNvGraphicFramePr/>
                <a:graphic xmlns:a="http://schemas.openxmlformats.org/drawingml/2006/main">
                  <a:graphicData uri="http://schemas.microsoft.com/office/word/2010/wordprocessingShape">
                    <wps:wsp>
                      <wps:cNvCnPr/>
                      <wps:spPr>
                        <a:xfrm>
                          <a:off x="0" y="0"/>
                          <a:ext cx="5524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3.75pt;margin-top:11.3pt;height:0pt;width:43.5pt;z-index:251669504;mso-width-relative:page;mso-height-relative:page;" filled="f" stroked="t" coordsize="21600,21600" o:gfxdata="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vccjnZAAAACQEAAA8AAAAAAAAAAQAgAAAAIgAAAGRy&#10;cy9kb3ducmV2LnhtbFBLAQIUABQAAAAIAIdO4kCdirIwBAIAAPEDAAAOAAAAAAAAAAEAIAAAACgB&#10;AABkcnMvZTJvRG9jLnhtbFBLBQYAAAAABgAGAFkBAACeBQAAAAA=&#10;">
                <v:fill on="f" focussize="0,0"/>
                <v:stroke color="#000000" joinstyle="round" endarrow="block"/>
                <v:imagedata o:title=""/>
                <o:lock v:ext="edit" aspectratio="f"/>
              </v:shape>
            </w:pict>
          </mc:Fallback>
        </mc:AlternateContent>
      </w:r>
      <w:r>
        <w:rPr>
          <w:color w:val="000000"/>
          <w:shd w:val="clear" w:color="auto" w:fill="auto"/>
        </w:rPr>
        <mc:AlternateContent>
          <mc:Choice Requires="wps">
            <w:drawing>
              <wp:anchor distT="0" distB="0" distL="114300" distR="114300" simplePos="0" relativeHeight="251667456" behindDoc="0" locked="0" layoutInCell="1" allowOverlap="1">
                <wp:simplePos x="0" y="0"/>
                <wp:positionH relativeFrom="column">
                  <wp:posOffset>1108075</wp:posOffset>
                </wp:positionH>
                <wp:positionV relativeFrom="paragraph">
                  <wp:posOffset>143510</wp:posOffset>
                </wp:positionV>
                <wp:extent cx="552450" cy="0"/>
                <wp:effectExtent l="0" t="38100" r="11430" b="38100"/>
                <wp:wrapNone/>
                <wp:docPr id="96" name="直接箭头连接符 96"/>
                <wp:cNvGraphicFramePr/>
                <a:graphic xmlns:a="http://schemas.openxmlformats.org/drawingml/2006/main">
                  <a:graphicData uri="http://schemas.microsoft.com/office/word/2010/wordprocessingShape">
                    <wps:wsp>
                      <wps:cNvCnPr/>
                      <wps:spPr>
                        <a:xfrm>
                          <a:off x="0" y="0"/>
                          <a:ext cx="5524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7.25pt;margin-top:11.3pt;height:0pt;width:43.5pt;z-index:251667456;mso-width-relative:page;mso-height-relative:page;" filled="f" stroked="t" coordsize="21600,21600" o:gfxdata="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s6z9XXAAAACQEAAA8AAAAAAAAAAQAgAAAAIgAAAGRycy9k&#10;b3ducmV2LnhtbFBLAQIUABQAAAAIAIdO4kBvs5IDAwIAAPEDAAAOAAAAAAAAAAEAIAAAACYBAABk&#10;cnMvZTJvRG9jLnhtbFBLBQYAAAAABgAGAFkBAACbBQAAAAA=&#10;">
                <v:fill on="f" focussize="0,0"/>
                <v:stroke color="#000000" joinstyle="round" endarrow="block"/>
                <v:imagedata o:title=""/>
                <o:lock v:ext="edit" aspectratio="f"/>
              </v:shape>
            </w:pict>
          </mc:Fallback>
        </mc:AlternateContent>
      </w:r>
    </w:p>
    <w:p>
      <w:pPr>
        <w:adjustRightInd w:val="0"/>
        <w:snapToGrid w:val="0"/>
        <w:spacing w:line="480" w:lineRule="atLeast"/>
        <w:jc w:val="center"/>
      </w:pPr>
    </w:p>
    <w:p>
      <w:pPr>
        <w:adjustRightInd w:val="0"/>
        <w:snapToGrid w:val="0"/>
        <w:spacing w:line="480" w:lineRule="atLeast"/>
        <w:jc w:val="center"/>
        <w:rPr>
          <w:color w:val="000000"/>
          <w:szCs w:val="20"/>
        </w:rPr>
      </w:pPr>
      <w:r>
        <w:rPr>
          <w:color w:val="000000"/>
          <w:sz w:val="24"/>
        </w:rPr>
        <w:t>图</w:t>
      </w:r>
      <w:r>
        <w:rPr>
          <w:rFonts w:hint="eastAsia"/>
          <w:color w:val="000000"/>
          <w:sz w:val="24"/>
          <w:lang w:val="en-US" w:eastAsia="zh-CN"/>
        </w:rPr>
        <w:t>2.5-1</w:t>
      </w:r>
      <w:r>
        <w:rPr>
          <w:color w:val="000000"/>
          <w:sz w:val="24"/>
        </w:rPr>
        <w:t xml:space="preserve">  项目水平衡图   单位m</w:t>
      </w:r>
      <w:r>
        <w:rPr>
          <w:color w:val="000000"/>
          <w:sz w:val="24"/>
          <w:vertAlign w:val="superscript"/>
        </w:rPr>
        <w:t>3</w:t>
      </w:r>
      <w:r>
        <w:rPr>
          <w:color w:val="000000"/>
          <w:sz w:val="24"/>
        </w:rPr>
        <w:t>/</w:t>
      </w:r>
      <w:r>
        <w:rPr>
          <w:rFonts w:hint="eastAsia"/>
          <w:color w:val="000000"/>
          <w:sz w:val="24"/>
        </w:rPr>
        <w:t>d</w:t>
      </w:r>
    </w:p>
    <w:p>
      <w:pPr>
        <w:spacing w:line="480" w:lineRule="exact"/>
        <w:ind w:left="480"/>
        <w:rPr>
          <w:rFonts w:hint="default" w:ascii="Times New Roman" w:hAnsi="Times New Roman" w:cs="Times New Roman"/>
          <w:b/>
          <w:bCs/>
          <w:sz w:val="24"/>
          <w:szCs w:val="24"/>
        </w:rPr>
      </w:pPr>
      <w:r>
        <w:rPr>
          <w:rFonts w:hint="default" w:ascii="Times New Roman" w:hAnsi="Times New Roman" w:cs="Times New Roman"/>
          <w:sz w:val="24"/>
          <w:szCs w:val="24"/>
        </w:rPr>
        <w:t>（3）供电</w:t>
      </w:r>
    </w:p>
    <w:p>
      <w:pPr>
        <w:adjustRightInd w:val="0"/>
        <w:spacing w:line="360" w:lineRule="auto"/>
        <w:ind w:firstLine="480" w:firstLineChars="200"/>
        <w:rPr>
          <w:sz w:val="24"/>
        </w:rPr>
      </w:pPr>
      <w:r>
        <w:rPr>
          <w:rFonts w:hint="eastAsia"/>
          <w:sz w:val="24"/>
        </w:rPr>
        <w:t>项目年用电量为30万kW·h，电源引当地变电所</w:t>
      </w:r>
      <w:r>
        <w:rPr>
          <w:sz w:val="24"/>
        </w:rPr>
        <w:t>。</w:t>
      </w:r>
    </w:p>
    <w:p>
      <w:pPr>
        <w:spacing w:line="48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（4）供热及制冷</w:t>
      </w:r>
    </w:p>
    <w:p>
      <w:pPr>
        <w:spacing w:line="480" w:lineRule="exact"/>
        <w:ind w:firstLine="480" w:firstLineChars="200"/>
        <w:rPr>
          <w:rFonts w:hint="default" w:ascii="Times New Roman" w:hAnsi="Times New Roman" w:eastAsia="宋体" w:cs="Times New Roman"/>
          <w:sz w:val="24"/>
          <w:szCs w:val="24"/>
          <w:lang w:val="en-US" w:eastAsia="zh-CN"/>
        </w:rPr>
      </w:pPr>
      <w:r>
        <w:rPr>
          <w:rFonts w:hint="eastAsia"/>
          <w:color w:val="000000"/>
          <w:sz w:val="24"/>
        </w:rPr>
        <w:t>生产用热由电提供，办公室取暖由空调提供</w:t>
      </w:r>
      <w:r>
        <w:rPr>
          <w:color w:val="000000"/>
          <w:sz w:val="24"/>
        </w:rPr>
        <w:t>。</w:t>
      </w:r>
    </w:p>
    <w:p>
      <w:pPr>
        <w:pStyle w:val="6"/>
        <w:spacing w:line="440" w:lineRule="atLeast"/>
        <w:rPr>
          <w:rFonts w:hint="default" w:ascii="Times New Roman" w:hAnsi="Times New Roman" w:eastAsia="宋体" w:cs="Times New Roman"/>
        </w:rPr>
      </w:pPr>
      <w:bookmarkStart w:id="89" w:name="_Toc21958"/>
      <w:bookmarkStart w:id="90" w:name="_Toc12064"/>
      <w:bookmarkStart w:id="91" w:name="_Toc23930"/>
      <w:bookmarkStart w:id="92" w:name="_Toc24838"/>
      <w:r>
        <w:rPr>
          <w:rFonts w:hint="default" w:ascii="Times New Roman" w:hAnsi="Times New Roman" w:eastAsia="宋体" w:cs="Times New Roman"/>
        </w:rPr>
        <w:t>2.6 环评审批情况</w:t>
      </w:r>
      <w:bookmarkEnd w:id="89"/>
      <w:bookmarkEnd w:id="90"/>
      <w:bookmarkEnd w:id="91"/>
      <w:bookmarkEnd w:id="9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sz w:val="24"/>
          <w:szCs w:val="24"/>
          <w:highlight w:val="none"/>
          <w:lang w:val="en-US" w:eastAsia="zh-CN"/>
        </w:rPr>
        <w:t>2021年06月</w:t>
      </w:r>
      <w:r>
        <w:rPr>
          <w:rFonts w:hint="default" w:ascii="Times New Roman" w:hAnsi="Times New Roman" w:cs="Times New Roman"/>
          <w:sz w:val="24"/>
          <w:szCs w:val="24"/>
          <w:highlight w:val="none"/>
          <w:lang w:val="en-US" w:eastAsia="zh-CN"/>
        </w:rPr>
        <w:t>，委托</w:t>
      </w:r>
      <w:r>
        <w:rPr>
          <w:rFonts w:hint="eastAsia" w:ascii="宋体" w:hAnsi="宋体" w:cs="宋体"/>
          <w:sz w:val="24"/>
          <w:lang w:eastAsia="zh-CN"/>
        </w:rPr>
        <w:t>河北仁水环境科技有限公司</w:t>
      </w:r>
      <w:r>
        <w:rPr>
          <w:rFonts w:hint="default" w:ascii="Times New Roman" w:hAnsi="Times New Roman" w:cs="Times New Roman"/>
          <w:sz w:val="24"/>
          <w:szCs w:val="24"/>
          <w:highlight w:val="none"/>
          <w:lang w:val="en-US" w:eastAsia="zh-CN"/>
        </w:rPr>
        <w:t>编制完成了《</w:t>
      </w:r>
      <w:r>
        <w:rPr>
          <w:rFonts w:hint="eastAsia" w:ascii="宋体" w:hAnsi="宋体" w:cs="宋体"/>
          <w:sz w:val="24"/>
          <w:lang w:eastAsia="zh-CN"/>
        </w:rPr>
        <w:t>新麦菲地毯（沧州）有限公司</w:t>
      </w:r>
      <w:r>
        <w:rPr>
          <w:rFonts w:hint="eastAsia" w:ascii="Times New Roman" w:hAnsi="Times New Roman" w:eastAsia="宋体" w:cs="Times New Roman"/>
          <w:sz w:val="24"/>
          <w:szCs w:val="24"/>
          <w:lang w:val="en-US" w:eastAsia="zh-CN"/>
        </w:rPr>
        <w:t>新建</w:t>
      </w:r>
      <w:r>
        <w:rPr>
          <w:rFonts w:hint="eastAsia" w:ascii="Times New Roman" w:hAnsi="Times New Roman" w:cs="Times New Roman"/>
          <w:sz w:val="24"/>
          <w:szCs w:val="24"/>
          <w:lang w:val="en-US" w:eastAsia="zh-CN"/>
        </w:rPr>
        <w:t>年产300万平方米地毯项目</w:t>
      </w:r>
      <w:r>
        <w:rPr>
          <w:rFonts w:hint="eastAsia" w:ascii="Times New Roman" w:hAnsi="Times New Roman" w:eastAsia="宋体" w:cs="Times New Roman"/>
          <w:sz w:val="24"/>
          <w:szCs w:val="24"/>
          <w:lang w:val="en-US" w:eastAsia="zh-CN"/>
        </w:rPr>
        <w:t>环境影响报告表</w:t>
      </w:r>
      <w:r>
        <w:rPr>
          <w:rFonts w:hint="default" w:ascii="Times New Roman" w:hAnsi="Times New Roman" w:cs="Times New Roman"/>
          <w:sz w:val="24"/>
          <w:szCs w:val="24"/>
          <w:highlight w:val="none"/>
          <w:lang w:val="en-US" w:eastAsia="zh-CN"/>
        </w:rPr>
        <w:t>》，并于</w:t>
      </w:r>
      <w:r>
        <w:rPr>
          <w:rFonts w:hint="eastAsia" w:ascii="Times New Roman" w:hAnsi="Times New Roman" w:cs="Times New Roman"/>
          <w:sz w:val="24"/>
          <w:szCs w:val="24"/>
          <w:highlight w:val="none"/>
          <w:lang w:val="en-US" w:eastAsia="zh-CN"/>
        </w:rPr>
        <w:t>2021年06月30日</w:t>
      </w:r>
      <w:r>
        <w:rPr>
          <w:rFonts w:hint="default" w:ascii="Times New Roman" w:hAnsi="Times New Roman" w:cs="Times New Roman"/>
          <w:sz w:val="24"/>
          <w:szCs w:val="24"/>
          <w:highlight w:val="none"/>
          <w:lang w:val="en-US" w:eastAsia="zh-CN"/>
        </w:rPr>
        <w:t>取得了</w:t>
      </w:r>
      <w:r>
        <w:rPr>
          <w:rFonts w:hint="eastAsia" w:ascii="Times New Roman" w:hAnsi="Times New Roman" w:cs="Times New Roman"/>
          <w:sz w:val="24"/>
          <w:szCs w:val="24"/>
          <w:highlight w:val="none"/>
          <w:lang w:val="en-US" w:eastAsia="zh-CN"/>
        </w:rPr>
        <w:t>沧县行政审批局</w:t>
      </w:r>
      <w:r>
        <w:rPr>
          <w:rFonts w:hint="default" w:ascii="Times New Roman" w:hAnsi="Times New Roman" w:cs="Times New Roman"/>
          <w:sz w:val="24"/>
          <w:szCs w:val="24"/>
          <w:highlight w:val="none"/>
          <w:lang w:val="en-US" w:eastAsia="zh-CN"/>
        </w:rPr>
        <w:t>的审批，批复文号为</w:t>
      </w:r>
      <w:r>
        <w:rPr>
          <w:rFonts w:hint="eastAsia" w:ascii="Times New Roman" w:hAnsi="Times New Roman" w:cs="Times New Roman"/>
          <w:bCs/>
          <w:sz w:val="24"/>
          <w:highlight w:val="none"/>
          <w:lang w:val="en-US" w:eastAsia="zh-CN"/>
        </w:rPr>
        <w:t>沧县行审（环）字〔2021〕151号</w:t>
      </w:r>
      <w:r>
        <w:rPr>
          <w:rFonts w:hint="default" w:ascii="Times New Roman" w:hAnsi="Times New Roman" w:cs="Times New Roman"/>
          <w:color w:val="auto"/>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0" w:firstLineChars="0"/>
        <w:jc w:val="both"/>
        <w:textAlignment w:val="auto"/>
        <w:outlineLvl w:val="1"/>
        <w:rPr>
          <w:rFonts w:hint="default" w:ascii="Times New Roman" w:hAnsi="Times New Roman" w:eastAsia="宋体" w:cs="Times New Roman"/>
          <w:szCs w:val="22"/>
        </w:rPr>
      </w:pPr>
      <w:bookmarkStart w:id="93" w:name="_Toc29987"/>
      <w:bookmarkStart w:id="94" w:name="_Toc27205"/>
      <w:bookmarkStart w:id="95" w:name="_Toc10885"/>
      <w:bookmarkStart w:id="96" w:name="_Toc6019"/>
      <w:r>
        <w:rPr>
          <w:rFonts w:hint="default" w:ascii="Times New Roman" w:hAnsi="Times New Roman" w:eastAsia="宋体" w:cs="Times New Roman"/>
          <w:szCs w:val="22"/>
        </w:rPr>
        <w:t>2.7 项目投资</w:t>
      </w:r>
      <w:bookmarkEnd w:id="93"/>
      <w:bookmarkEnd w:id="94"/>
      <w:bookmarkEnd w:id="95"/>
      <w:bookmarkEnd w:id="9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bookmarkStart w:id="97" w:name="_Toc15687"/>
      <w:bookmarkStart w:id="98" w:name="_Toc21008"/>
      <w:bookmarkStart w:id="99" w:name="_Toc3229"/>
      <w:r>
        <w:rPr>
          <w:rFonts w:hint="default" w:ascii="Times New Roman" w:hAnsi="Times New Roman" w:cs="Times New Roman"/>
          <w:sz w:val="24"/>
          <w:szCs w:val="24"/>
          <w:highlight w:val="none"/>
          <w:lang w:val="en-US" w:eastAsia="zh-CN"/>
        </w:rPr>
        <w:t>本项目设计总投资为</w:t>
      </w:r>
      <w:r>
        <w:rPr>
          <w:rFonts w:hint="eastAsia" w:ascii="Times New Roman" w:hAnsi="Times New Roman" w:cs="Times New Roman"/>
          <w:sz w:val="24"/>
          <w:szCs w:val="24"/>
          <w:highlight w:val="none"/>
          <w:lang w:val="en-US" w:eastAsia="zh-CN"/>
        </w:rPr>
        <w:t>500万元</w:t>
      </w:r>
      <w:r>
        <w:rPr>
          <w:rFonts w:hint="default" w:ascii="Times New Roman" w:hAnsi="Times New Roman" w:cs="Times New Roman"/>
          <w:sz w:val="24"/>
          <w:szCs w:val="24"/>
          <w:highlight w:val="none"/>
          <w:lang w:val="en-US" w:eastAsia="zh-CN"/>
        </w:rPr>
        <w:t>，其中设计环境保护总投资</w:t>
      </w:r>
      <w:r>
        <w:rPr>
          <w:rFonts w:hint="eastAsia" w:ascii="Times New Roman" w:hAnsi="Times New Roman" w:cs="Times New Roman"/>
          <w:sz w:val="24"/>
          <w:szCs w:val="24"/>
          <w:highlight w:val="none"/>
          <w:lang w:val="en-US" w:eastAsia="zh-CN"/>
        </w:rPr>
        <w:t>5万元</w:t>
      </w:r>
      <w:r>
        <w:rPr>
          <w:rFonts w:hint="default" w:ascii="Times New Roman" w:hAnsi="Times New Roman" w:cs="Times New Roman"/>
          <w:sz w:val="24"/>
          <w:szCs w:val="24"/>
          <w:highlight w:val="none"/>
          <w:lang w:val="en-US" w:eastAsia="zh-CN"/>
        </w:rPr>
        <w:t>，占总投资的</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lang w:val="en-US" w:eastAsia="zh-CN"/>
        </w:rPr>
        <w:t>%。</w:t>
      </w:r>
      <w:bookmarkStart w:id="100" w:name="_Toc15491"/>
      <w:r>
        <w:rPr>
          <w:rFonts w:hint="default" w:ascii="Times New Roman" w:hAnsi="Times New Roman" w:cs="Times New Roman"/>
          <w:sz w:val="24"/>
          <w:szCs w:val="24"/>
          <w:highlight w:val="none"/>
          <w:lang w:val="en-US" w:eastAsia="zh-CN"/>
        </w:rPr>
        <w:t>实际总投资为</w:t>
      </w:r>
      <w:r>
        <w:rPr>
          <w:rFonts w:hint="eastAsia" w:ascii="Times New Roman" w:hAnsi="Times New Roman" w:cs="Times New Roman"/>
          <w:sz w:val="24"/>
          <w:szCs w:val="24"/>
          <w:highlight w:val="none"/>
          <w:lang w:val="en-US" w:eastAsia="zh-CN"/>
        </w:rPr>
        <w:t>500万元</w:t>
      </w:r>
      <w:r>
        <w:rPr>
          <w:rFonts w:hint="default" w:ascii="Times New Roman" w:hAnsi="Times New Roman" w:cs="Times New Roman"/>
          <w:sz w:val="24"/>
          <w:szCs w:val="24"/>
          <w:highlight w:val="none"/>
          <w:lang w:val="en-US" w:eastAsia="zh-CN"/>
        </w:rPr>
        <w:t>，其中环境保护总投资</w:t>
      </w:r>
      <w:r>
        <w:rPr>
          <w:rFonts w:hint="eastAsia" w:ascii="Times New Roman" w:hAnsi="Times New Roman" w:cs="Times New Roman"/>
          <w:sz w:val="24"/>
          <w:szCs w:val="24"/>
          <w:highlight w:val="none"/>
          <w:lang w:val="en-US" w:eastAsia="zh-CN"/>
        </w:rPr>
        <w:t>5万元</w:t>
      </w:r>
      <w:r>
        <w:rPr>
          <w:rFonts w:hint="default" w:ascii="Times New Roman" w:hAnsi="Times New Roman" w:cs="Times New Roman"/>
          <w:sz w:val="24"/>
          <w:szCs w:val="24"/>
          <w:highlight w:val="none"/>
          <w:lang w:val="en-US" w:eastAsia="zh-CN"/>
        </w:rPr>
        <w:t>，占总投资的</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lang w:val="en-US" w:eastAsia="zh-CN"/>
        </w:rPr>
        <w:t>%。</w:t>
      </w:r>
      <w:bookmarkEnd w:id="97"/>
      <w:bookmarkEnd w:id="98"/>
      <w:bookmarkEnd w:id="99"/>
    </w:p>
    <w:p>
      <w:pPr>
        <w:pStyle w:val="6"/>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rPr>
          <w:rFonts w:hint="default" w:ascii="Times New Roman" w:hAnsi="Times New Roman" w:eastAsia="宋体" w:cs="Times New Roman"/>
        </w:rPr>
      </w:pPr>
      <w:bookmarkStart w:id="101" w:name="_Toc2981"/>
      <w:bookmarkStart w:id="102" w:name="_Toc3625"/>
      <w:bookmarkStart w:id="103" w:name="_Toc30423"/>
      <w:r>
        <w:rPr>
          <w:rFonts w:hint="default" w:ascii="Times New Roman" w:hAnsi="Times New Roman" w:eastAsia="宋体" w:cs="Times New Roman"/>
        </w:rPr>
        <w:t>2.8 项目变更情况说明</w:t>
      </w:r>
      <w:bookmarkEnd w:id="100"/>
      <w:bookmarkEnd w:id="101"/>
      <w:bookmarkEnd w:id="102"/>
      <w:bookmarkEnd w:id="103"/>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经现场核实，建设内容实际变更如下：</w:t>
      </w:r>
    </w:p>
    <w:p>
      <w:pPr>
        <w:pStyle w:val="27"/>
        <w:numPr>
          <w:ilvl w:val="0"/>
          <w:numId w:val="1"/>
        </w:numP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处理设施变更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sectPr>
          <w:head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04" w:name="_Toc7013"/>
      <w:bookmarkStart w:id="105" w:name="_Toc30604"/>
      <w:bookmarkStart w:id="106" w:name="_Toc3130"/>
      <w:r>
        <w:rPr>
          <w:rFonts w:hint="eastAsia" w:ascii="Times New Roman" w:hAnsi="Times New Roman" w:cs="Times New Roman"/>
          <w:sz w:val="24"/>
          <w:szCs w:val="24"/>
          <w:highlight w:val="none"/>
          <w:lang w:val="en-US" w:eastAsia="zh-CN"/>
        </w:rPr>
        <w:t>原环评塑化工序废气处理设施为二级活性炭吸附装置处理后，通过1根15m</w:t>
      </w:r>
      <w:r>
        <w:rPr>
          <w:rFonts w:hint="default" w:ascii="Times New Roman" w:hAnsi="Times New Roman" w:cs="Times New Roman"/>
          <w:sz w:val="24"/>
          <w:szCs w:val="24"/>
          <w:highlight w:val="none"/>
          <w:lang w:val="en-US" w:eastAsia="zh-CN"/>
        </w:rPr>
        <w:t>高排气筒排放</w:t>
      </w:r>
      <w:r>
        <w:rPr>
          <w:rFonts w:hint="eastAsia" w:ascii="Times New Roman" w:hAnsi="Times New Roman" w:cs="Times New Roman"/>
          <w:sz w:val="24"/>
          <w:szCs w:val="24"/>
          <w:highlight w:val="none"/>
          <w:lang w:val="en-US" w:eastAsia="zh-CN"/>
        </w:rPr>
        <w:t>，项目实际建设等离子净化机+二级活性炭装置处理后，通过1根15m高排气筒排放。</w:t>
      </w:r>
    </w:p>
    <w:p>
      <w:pPr>
        <w:pStyle w:val="6"/>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rPr>
          <w:rFonts w:hint="default" w:ascii="Times New Roman" w:hAnsi="Times New Roman" w:eastAsia="宋体" w:cs="Times New Roman"/>
        </w:rPr>
      </w:pPr>
      <w:bookmarkStart w:id="107" w:name="_Toc291"/>
      <w:r>
        <w:rPr>
          <w:rFonts w:hint="default" w:ascii="Times New Roman" w:hAnsi="Times New Roman" w:eastAsia="宋体" w:cs="Times New Roman"/>
        </w:rPr>
        <w:t>2.9 环境保护“三同时”落实情况</w:t>
      </w:r>
      <w:bookmarkEnd w:id="107"/>
    </w:p>
    <w:p>
      <w:pPr>
        <w:jc w:val="center"/>
        <w:rPr>
          <w:rFonts w:hint="default"/>
        </w:rPr>
      </w:pPr>
      <w:r>
        <w:rPr>
          <w:rFonts w:hint="default" w:ascii="Times New Roman" w:hAnsi="Times New Roman" w:eastAsia="宋体" w:cs="Times New Roman"/>
          <w:b/>
          <w:color w:val="auto"/>
          <w:sz w:val="24"/>
          <w:szCs w:val="24"/>
        </w:rPr>
        <w:t>表2-</w:t>
      </w:r>
      <w:r>
        <w:rPr>
          <w:rFonts w:hint="eastAsia" w:ascii="Times New Roman" w:hAnsi="Times New Roman" w:cs="Times New Roman"/>
          <w:b/>
          <w:color w:val="auto"/>
          <w:sz w:val="24"/>
          <w:szCs w:val="24"/>
          <w:lang w:val="en-US" w:eastAsia="zh-CN"/>
        </w:rPr>
        <w:t>5</w:t>
      </w:r>
      <w:r>
        <w:rPr>
          <w:rFonts w:hint="default" w:ascii="Times New Roman" w:hAnsi="Times New Roman" w:eastAsia="宋体" w:cs="Times New Roman"/>
          <w:b/>
          <w:color w:val="auto"/>
          <w:sz w:val="24"/>
          <w:szCs w:val="24"/>
        </w:rPr>
        <w:t>环境保护“三同时”落实情况</w:t>
      </w:r>
    </w:p>
    <w:p>
      <w:pPr>
        <w:rPr>
          <w:rFonts w:hint="default"/>
        </w:rPr>
      </w:pPr>
    </w:p>
    <w:tbl>
      <w:tblPr>
        <w:tblStyle w:val="22"/>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210"/>
        <w:gridCol w:w="948"/>
        <w:gridCol w:w="1320"/>
        <w:gridCol w:w="1344"/>
        <w:gridCol w:w="1824"/>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870"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firstLine="210" w:firstLineChars="10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要素</w:t>
            </w:r>
          </w:p>
        </w:tc>
        <w:tc>
          <w:tcPr>
            <w:tcW w:w="12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排放口(编号、名称)/污染源</w:t>
            </w: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污染物项目</w:t>
            </w:r>
          </w:p>
        </w:tc>
        <w:tc>
          <w:tcPr>
            <w:tcW w:w="13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环境保护措施</w:t>
            </w:r>
          </w:p>
        </w:tc>
        <w:tc>
          <w:tcPr>
            <w:tcW w:w="31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执行标准</w:t>
            </w:r>
          </w:p>
        </w:tc>
        <w:tc>
          <w:tcPr>
            <w:tcW w:w="21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sz w:val="21"/>
                <w:szCs w:val="21"/>
                <w:lang w:eastAsia="zh-CN"/>
              </w:rPr>
            </w:pPr>
            <w:r>
              <w:rPr>
                <w:rFonts w:hint="eastAsia" w:ascii="Times New Roman" w:hAnsi="Times New Roman" w:cs="Times New Roman"/>
                <w:color w:val="000000"/>
                <w:sz w:val="21"/>
                <w:szCs w:val="21"/>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大气环境</w:t>
            </w:r>
          </w:p>
        </w:tc>
        <w:tc>
          <w:tcPr>
            <w:tcW w:w="121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Cs w:val="21"/>
                <w:shd w:val="clear" w:color="auto" w:fill="auto"/>
              </w:rPr>
              <w:t>塑化工序</w:t>
            </w:r>
          </w:p>
        </w:tc>
        <w:tc>
          <w:tcPr>
            <w:tcW w:w="948" w:type="dxa"/>
            <w:noWrap w:val="0"/>
            <w:vAlign w:val="center"/>
          </w:tcPr>
          <w:p>
            <w:pPr>
              <w:adjustRightInd w:val="0"/>
              <w:snapToGrid w:val="0"/>
              <w:jc w:val="center"/>
              <w:rPr>
                <w:rFonts w:hint="default" w:ascii="Times New Roman" w:hAnsi="Times New Roman" w:cs="Times New Roman" w:eastAsiaTheme="minorEastAsia"/>
                <w:color w:val="000000"/>
                <w:kern w:val="2"/>
                <w:sz w:val="21"/>
                <w:szCs w:val="21"/>
                <w:shd w:val="clear" w:color="auto" w:fill="auto"/>
                <w:lang w:val="en-US" w:eastAsia="zh-CN" w:bidi="ar-SA"/>
              </w:rPr>
            </w:pPr>
            <w:r>
              <w:rPr>
                <w:rFonts w:hint="default" w:ascii="Times New Roman" w:hAnsi="Times New Roman" w:cs="Times New Roman"/>
                <w:color w:val="000000"/>
                <w:szCs w:val="21"/>
                <w:shd w:val="clear" w:color="auto" w:fill="auto"/>
              </w:rPr>
              <w:t>非甲烷总烃</w:t>
            </w:r>
          </w:p>
        </w:tc>
        <w:tc>
          <w:tcPr>
            <w:tcW w:w="132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集气罩收集后经</w:t>
            </w:r>
            <w:r>
              <w:rPr>
                <w:rFonts w:hint="eastAsia"/>
                <w:color w:val="000000"/>
                <w:sz w:val="21"/>
                <w:szCs w:val="21"/>
                <w:shd w:val="clear" w:color="auto" w:fill="auto"/>
                <w:lang w:val="en-US" w:eastAsia="zh-CN"/>
              </w:rPr>
              <w:t>二级活性炭吸附装置</w:t>
            </w:r>
            <w:r>
              <w:rPr>
                <w:rFonts w:hint="default" w:ascii="Times New Roman" w:hAnsi="Times New Roman" w:cs="Times New Roman"/>
                <w:color w:val="000000"/>
                <w:sz w:val="21"/>
                <w:szCs w:val="21"/>
              </w:rPr>
              <w:t>处理后通过15m高排气筒排放</w:t>
            </w:r>
          </w:p>
        </w:tc>
        <w:tc>
          <w:tcPr>
            <w:tcW w:w="1344" w:type="dxa"/>
            <w:noWrap w:val="0"/>
            <w:vAlign w:val="center"/>
          </w:tcPr>
          <w:p>
            <w:pPr>
              <w:pStyle w:val="49"/>
              <w:snapToGrid w:val="0"/>
              <w:spacing w:line="240" w:lineRule="exact"/>
              <w:rPr>
                <w:rFonts w:hint="default" w:ascii="Times New Roman" w:hAnsi="Times New Roman" w:cs="Times New Roman"/>
                <w:color w:val="000000"/>
                <w:shd w:val="clear" w:color="auto" w:fill="auto"/>
              </w:rPr>
            </w:pPr>
            <w:r>
              <w:rPr>
                <w:rFonts w:hint="default" w:ascii="Times New Roman" w:hAnsi="Times New Roman" w:cs="Times New Roman"/>
                <w:color w:val="000000"/>
                <w:shd w:val="clear" w:color="auto" w:fill="auto"/>
              </w:rPr>
              <w:t>非甲烷总烃最高允许排放浓度：20mg/m</w:t>
            </w:r>
            <w:r>
              <w:rPr>
                <w:rFonts w:hint="default" w:ascii="Times New Roman" w:hAnsi="Times New Roman" w:cs="Times New Roman"/>
                <w:color w:val="000000"/>
                <w:shd w:val="clear" w:color="auto" w:fill="auto"/>
                <w:vertAlign w:val="superscript"/>
              </w:rPr>
              <w:t>3</w:t>
            </w:r>
            <w:r>
              <w:rPr>
                <w:rFonts w:hint="default" w:ascii="Times New Roman" w:hAnsi="Times New Roman" w:cs="Times New Roman"/>
                <w:color w:val="000000"/>
                <w:shd w:val="clear" w:color="auto" w:fill="auto"/>
              </w:rPr>
              <w:t>；</w:t>
            </w:r>
          </w:p>
          <w:p>
            <w:pPr>
              <w:adjustRightInd w:val="0"/>
              <w:snapToGrid w:val="0"/>
              <w:jc w:val="center"/>
              <w:rPr>
                <w:rFonts w:hint="default" w:ascii="Times New Roman" w:hAnsi="Times New Roman" w:cs="Times New Roman" w:eastAsiaTheme="minorEastAsia"/>
                <w:color w:val="000000"/>
                <w:kern w:val="2"/>
                <w:sz w:val="21"/>
                <w:szCs w:val="21"/>
                <w:shd w:val="clear" w:color="auto" w:fill="auto"/>
                <w:lang w:val="en-US" w:eastAsia="zh-CN" w:bidi="ar-SA"/>
              </w:rPr>
            </w:pPr>
            <w:r>
              <w:rPr>
                <w:rFonts w:hint="default" w:ascii="Times New Roman" w:hAnsi="Times New Roman" w:cs="Times New Roman"/>
                <w:color w:val="000000"/>
                <w:shd w:val="clear" w:color="auto" w:fill="auto"/>
              </w:rPr>
              <w:t>非甲烷总烃去除效率90%</w:t>
            </w:r>
          </w:p>
        </w:tc>
        <w:tc>
          <w:tcPr>
            <w:tcW w:w="1824" w:type="dxa"/>
            <w:noWrap w:val="0"/>
            <w:vAlign w:val="center"/>
          </w:tcPr>
          <w:p>
            <w:pPr>
              <w:adjustRightInd w:val="0"/>
              <w:snapToGrid w:val="0"/>
              <w:jc w:val="center"/>
              <w:rPr>
                <w:rFonts w:hint="default" w:ascii="宋体" w:hAnsi="宋体" w:cs="宋体" w:eastAsiaTheme="minorEastAsia"/>
                <w:color w:val="000000"/>
                <w:kern w:val="2"/>
                <w:sz w:val="21"/>
                <w:szCs w:val="21"/>
                <w:shd w:val="clear" w:color="auto" w:fill="auto"/>
                <w:lang w:val="en-US" w:eastAsia="zh-CN" w:bidi="ar-SA"/>
              </w:rPr>
            </w:pPr>
            <w:r>
              <w:rPr>
                <w:rFonts w:hint="eastAsia"/>
                <w:bCs/>
                <w:color w:val="000000"/>
                <w:szCs w:val="21"/>
                <w:shd w:val="clear" w:color="auto" w:fill="auto"/>
              </w:rPr>
              <w:t>《烧碱、聚氯乙烯工业污染物排放标准》（</w:t>
            </w:r>
            <w:r>
              <w:rPr>
                <w:bCs/>
                <w:color w:val="000000"/>
                <w:szCs w:val="21"/>
                <w:shd w:val="clear" w:color="auto" w:fill="auto"/>
              </w:rPr>
              <w:t>GB15581-2016</w:t>
            </w:r>
            <w:r>
              <w:rPr>
                <w:rFonts w:hint="eastAsia"/>
                <w:bCs/>
                <w:color w:val="000000"/>
                <w:szCs w:val="21"/>
                <w:shd w:val="clear" w:color="auto" w:fill="auto"/>
              </w:rPr>
              <w:t>）表</w:t>
            </w:r>
            <w:r>
              <w:rPr>
                <w:bCs/>
                <w:color w:val="000000"/>
                <w:szCs w:val="21"/>
                <w:shd w:val="clear" w:color="auto" w:fill="auto"/>
              </w:rPr>
              <w:t>4</w:t>
            </w:r>
            <w:r>
              <w:rPr>
                <w:rFonts w:hint="eastAsia"/>
                <w:bCs/>
                <w:color w:val="000000"/>
                <w:szCs w:val="21"/>
                <w:shd w:val="clear" w:color="auto" w:fill="auto"/>
              </w:rPr>
              <w:t>中大气污染物特别排放浓度限值及《工业企业挥发性有机物排放控制标准》（</w:t>
            </w:r>
            <w:r>
              <w:rPr>
                <w:bCs/>
                <w:color w:val="000000"/>
                <w:szCs w:val="21"/>
                <w:shd w:val="clear" w:color="auto" w:fill="auto"/>
              </w:rPr>
              <w:t>DB13/2322-2016</w:t>
            </w:r>
            <w:r>
              <w:rPr>
                <w:rFonts w:hint="eastAsia"/>
                <w:bCs/>
                <w:color w:val="000000"/>
                <w:szCs w:val="21"/>
                <w:shd w:val="clear" w:color="auto" w:fill="auto"/>
              </w:rPr>
              <w:t>）表</w:t>
            </w:r>
            <w:r>
              <w:rPr>
                <w:bCs/>
                <w:color w:val="000000"/>
                <w:szCs w:val="21"/>
                <w:shd w:val="clear" w:color="auto" w:fill="auto"/>
              </w:rPr>
              <w:t>1</w:t>
            </w:r>
            <w:r>
              <w:rPr>
                <w:rFonts w:hint="eastAsia"/>
                <w:bCs/>
                <w:color w:val="000000"/>
                <w:szCs w:val="21"/>
                <w:shd w:val="clear" w:color="auto" w:fill="auto"/>
              </w:rPr>
              <w:t>中有机化工业去除率要求</w:t>
            </w:r>
          </w:p>
        </w:tc>
        <w:tc>
          <w:tcPr>
            <w:tcW w:w="211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sz w:val="21"/>
                <w:szCs w:val="21"/>
                <w:lang w:val="en-US" w:eastAsia="zh-CN"/>
              </w:rPr>
              <w:t>项目实际为等离子净化机+二级活性炭装置，非甲烷总烃去除效率未达标，</w:t>
            </w:r>
            <w:r>
              <w:rPr>
                <w:rFonts w:hint="eastAsia" w:ascii="Times New Roman" w:hAnsi="Times New Roman" w:cs="Times New Roman"/>
                <w:sz w:val="21"/>
                <w:szCs w:val="21"/>
                <w:highlight w:val="none"/>
                <w:lang w:val="en-US" w:eastAsia="zh-CN"/>
              </w:rPr>
              <w:t>加测车间有机废气，废气执行《工业企业挥发性有机物排放控制标准》（DB13/2322-2016）表3生产车间或生产设备边界大气污染物浓度限值及《挥发性有机物无组织排放控制标准》(GB 37822-2019)表A.1厂区内VOCs无组织特别排放限值，其余均落实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2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948" w:type="dxa"/>
            <w:noWrap w:val="0"/>
            <w:vAlign w:val="center"/>
          </w:tcPr>
          <w:p>
            <w:pPr>
              <w:adjustRightInd w:val="0"/>
              <w:snapToGrid w:val="0"/>
              <w:jc w:val="center"/>
              <w:rPr>
                <w:rFonts w:hint="default" w:ascii="Times New Roman" w:hAnsi="Times New Roman" w:cs="Times New Roman" w:eastAsiaTheme="minorEastAsia"/>
                <w:color w:val="000000"/>
                <w:kern w:val="2"/>
                <w:sz w:val="21"/>
                <w:szCs w:val="21"/>
                <w:shd w:val="clear" w:color="auto" w:fill="auto"/>
                <w:lang w:val="en-US" w:eastAsia="zh-CN" w:bidi="ar-SA"/>
              </w:rPr>
            </w:pPr>
            <w:r>
              <w:rPr>
                <w:rFonts w:hint="default" w:ascii="Times New Roman" w:hAnsi="Times New Roman" w:cs="Times New Roman"/>
                <w:color w:val="000000"/>
                <w:szCs w:val="21"/>
                <w:shd w:val="clear" w:color="auto" w:fill="auto"/>
              </w:rPr>
              <w:t>氯化氢</w:t>
            </w: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344" w:type="dxa"/>
            <w:noWrap w:val="0"/>
            <w:vAlign w:val="center"/>
          </w:tcPr>
          <w:p>
            <w:pPr>
              <w:adjustRightInd w:val="0"/>
              <w:snapToGrid w:val="0"/>
              <w:jc w:val="center"/>
              <w:rPr>
                <w:rFonts w:hint="default" w:ascii="Times New Roman" w:hAnsi="Times New Roman" w:cs="Times New Roman" w:eastAsiaTheme="minorEastAsia"/>
                <w:color w:val="000000"/>
                <w:kern w:val="2"/>
                <w:sz w:val="21"/>
                <w:szCs w:val="22"/>
                <w:shd w:val="clear" w:color="auto" w:fill="auto"/>
                <w:lang w:val="en-US" w:eastAsia="zh-CN" w:bidi="ar-SA"/>
              </w:rPr>
            </w:pPr>
            <w:r>
              <w:rPr>
                <w:rFonts w:hint="default" w:ascii="Times New Roman" w:hAnsi="Times New Roman" w:cs="Times New Roman"/>
                <w:color w:val="000000"/>
                <w:shd w:val="clear" w:color="auto" w:fill="auto"/>
              </w:rPr>
              <w:t>最高允许排放浓度：20mg/m</w:t>
            </w:r>
            <w:r>
              <w:rPr>
                <w:rFonts w:hint="default" w:ascii="Times New Roman" w:hAnsi="Times New Roman" w:cs="Times New Roman"/>
                <w:color w:val="000000"/>
                <w:shd w:val="clear" w:color="auto" w:fill="auto"/>
                <w:vertAlign w:val="superscript"/>
              </w:rPr>
              <w:t>3</w:t>
            </w:r>
          </w:p>
        </w:tc>
        <w:tc>
          <w:tcPr>
            <w:tcW w:w="182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eastAsia"/>
                <w:bCs/>
                <w:color w:val="000000"/>
                <w:szCs w:val="21"/>
                <w:shd w:val="clear" w:color="auto" w:fill="auto"/>
              </w:rPr>
              <w:t>《烧碱、聚氯乙烯工业污染物排放标准》（GB15581-2016）中表4大气污染物特别排放浓度限值</w:t>
            </w:r>
          </w:p>
        </w:tc>
        <w:tc>
          <w:tcPr>
            <w:tcW w:w="21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2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948" w:type="dxa"/>
            <w:noWrap w:val="0"/>
            <w:vAlign w:val="center"/>
          </w:tcPr>
          <w:p>
            <w:pPr>
              <w:adjustRightInd w:val="0"/>
              <w:snapToGrid w:val="0"/>
              <w:jc w:val="center"/>
              <w:rPr>
                <w:rFonts w:hint="default" w:ascii="Times New Roman" w:hAnsi="Times New Roman" w:eastAsia="宋体" w:cs="Times New Roman"/>
                <w:color w:val="000000"/>
                <w:kern w:val="2"/>
                <w:sz w:val="21"/>
                <w:szCs w:val="21"/>
                <w:shd w:val="clear" w:color="auto" w:fill="auto"/>
                <w:lang w:val="en-US" w:eastAsia="zh-CN" w:bidi="ar-SA"/>
              </w:rPr>
            </w:pPr>
            <w:r>
              <w:rPr>
                <w:rFonts w:hint="default" w:ascii="Times New Roman" w:hAnsi="Times New Roman" w:cs="Times New Roman"/>
                <w:color w:val="000000"/>
                <w:szCs w:val="21"/>
                <w:shd w:val="clear" w:color="auto" w:fill="auto"/>
                <w:lang w:val="en-US" w:eastAsia="zh-CN"/>
              </w:rPr>
              <w:t>氯乙烯</w:t>
            </w: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344" w:type="dxa"/>
            <w:noWrap w:val="0"/>
            <w:vAlign w:val="center"/>
          </w:tcPr>
          <w:p>
            <w:pPr>
              <w:adjustRightInd w:val="0"/>
              <w:snapToGrid w:val="0"/>
              <w:jc w:val="center"/>
              <w:rPr>
                <w:rFonts w:hint="default" w:ascii="Times New Roman" w:hAnsi="Times New Roman" w:cs="Times New Roman" w:eastAsiaTheme="minorEastAsia"/>
                <w:color w:val="000000"/>
                <w:kern w:val="2"/>
                <w:sz w:val="21"/>
                <w:szCs w:val="22"/>
                <w:shd w:val="clear" w:color="auto" w:fill="auto"/>
                <w:lang w:val="en-US" w:eastAsia="zh-CN" w:bidi="ar-SA"/>
              </w:rPr>
            </w:pPr>
            <w:r>
              <w:rPr>
                <w:rFonts w:hint="default" w:ascii="Times New Roman" w:hAnsi="Times New Roman" w:cs="Times New Roman"/>
                <w:color w:val="000000"/>
                <w:shd w:val="clear" w:color="auto" w:fill="auto"/>
              </w:rPr>
              <w:t>最高允许排放浓度：</w:t>
            </w:r>
            <w:r>
              <w:rPr>
                <w:rFonts w:hint="default" w:ascii="Times New Roman" w:hAnsi="Times New Roman" w:cs="Times New Roman"/>
                <w:color w:val="000000"/>
                <w:shd w:val="clear" w:color="auto" w:fill="auto"/>
                <w:lang w:val="en-US" w:eastAsia="zh-CN"/>
              </w:rPr>
              <w:t>10</w:t>
            </w:r>
            <w:r>
              <w:rPr>
                <w:rFonts w:hint="default" w:ascii="Times New Roman" w:hAnsi="Times New Roman" w:cs="Times New Roman"/>
                <w:color w:val="000000"/>
                <w:shd w:val="clear" w:color="auto" w:fill="auto"/>
              </w:rPr>
              <w:t>mg/m</w:t>
            </w:r>
            <w:r>
              <w:rPr>
                <w:rFonts w:hint="default" w:ascii="Times New Roman" w:hAnsi="Times New Roman" w:cs="Times New Roman"/>
                <w:color w:val="000000"/>
                <w:shd w:val="clear" w:color="auto" w:fill="auto"/>
                <w:vertAlign w:val="superscript"/>
              </w:rPr>
              <w:t>3</w:t>
            </w:r>
          </w:p>
        </w:tc>
        <w:tc>
          <w:tcPr>
            <w:tcW w:w="18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21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21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无组织废气</w:t>
            </w:r>
          </w:p>
        </w:tc>
        <w:tc>
          <w:tcPr>
            <w:tcW w:w="948" w:type="dxa"/>
            <w:vMerge w:val="restart"/>
            <w:noWrap w:val="0"/>
            <w:vAlign w:val="center"/>
          </w:tcPr>
          <w:p>
            <w:pPr>
              <w:adjustRightInd w:val="0"/>
              <w:snapToGrid w:val="0"/>
              <w:jc w:val="center"/>
              <w:rPr>
                <w:rFonts w:hint="default" w:ascii="Times New Roman" w:hAnsi="Times New Roman" w:cs="Times New Roman"/>
                <w:color w:val="000000"/>
                <w:sz w:val="21"/>
                <w:szCs w:val="21"/>
              </w:rPr>
            </w:pPr>
            <w:r>
              <w:rPr>
                <w:rFonts w:hint="eastAsia" w:ascii="宋体" w:hAnsi="宋体" w:cs="宋体"/>
                <w:color w:val="000000"/>
                <w:szCs w:val="21"/>
                <w:shd w:val="clear" w:color="auto" w:fill="auto"/>
              </w:rPr>
              <w:t>非甲烷总烃</w:t>
            </w:r>
          </w:p>
        </w:tc>
        <w:tc>
          <w:tcPr>
            <w:tcW w:w="132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napToGrid w:val="0"/>
                <w:color w:val="000000"/>
                <w:sz w:val="21"/>
                <w:szCs w:val="21"/>
              </w:rPr>
            </w:pPr>
            <w:r>
              <w:rPr>
                <w:rFonts w:hint="default" w:ascii="Times New Roman" w:hAnsi="Times New Roman" w:cs="Times New Roman"/>
                <w:snapToGrid w:val="0"/>
                <w:color w:val="000000"/>
                <w:sz w:val="21"/>
                <w:szCs w:val="21"/>
              </w:rPr>
              <w:t>车间封闭</w:t>
            </w:r>
          </w:p>
        </w:tc>
        <w:tc>
          <w:tcPr>
            <w:tcW w:w="13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sz w:val="21"/>
                <w:szCs w:val="21"/>
                <w:lang w:val="en-US" w:eastAsia="zh-CN"/>
              </w:rPr>
            </w:pPr>
            <w:r>
              <w:rPr>
                <w:rFonts w:hint="default" w:ascii="Times New Roman" w:hAnsi="Times New Roman" w:cs="Times New Roman"/>
                <w:snapToGrid w:val="0"/>
                <w:color w:val="000000"/>
                <w:sz w:val="21"/>
                <w:szCs w:val="21"/>
              </w:rPr>
              <w:t>非甲烷总烃厂界处企业边界浓度限值：2.0mg/m</w:t>
            </w:r>
            <w:r>
              <w:rPr>
                <w:rFonts w:hint="eastAsia" w:ascii="Times New Roman" w:hAnsi="Times New Roman" w:cs="Times New Roman"/>
                <w:snapToGrid w:val="0"/>
                <w:color w:val="000000"/>
                <w:sz w:val="21"/>
                <w:szCs w:val="21"/>
                <w:vertAlign w:val="superscript"/>
                <w:lang w:val="en-US" w:eastAsia="zh-CN"/>
              </w:rPr>
              <w:t>3</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snapToGrid w:val="0"/>
                <w:color w:val="000000"/>
                <w:sz w:val="21"/>
                <w:szCs w:val="21"/>
              </w:rPr>
              <w:t>《工业企业挥发性有机物排放控制标准》（DB13/2322-2016）表 2 其他企业边界大气污染物浓度限值</w:t>
            </w:r>
          </w:p>
        </w:tc>
        <w:tc>
          <w:tcPr>
            <w:tcW w:w="21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snapToGrid w:val="0"/>
                <w:color w:val="000000"/>
                <w:sz w:val="21"/>
                <w:szCs w:val="21"/>
                <w:lang w:eastAsia="zh-CN"/>
              </w:rPr>
            </w:pPr>
            <w:r>
              <w:rPr>
                <w:rFonts w:hint="eastAsia" w:ascii="Times New Roman" w:hAnsi="Times New Roman" w:cs="Times New Roman"/>
                <w:snapToGrid w:val="0"/>
                <w:color w:val="000000"/>
                <w:sz w:val="21"/>
                <w:szCs w:val="21"/>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2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9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napToGrid w:val="0"/>
                <w:color w:val="000000"/>
                <w:sz w:val="21"/>
                <w:szCs w:val="21"/>
              </w:rPr>
            </w:pPr>
          </w:p>
        </w:tc>
        <w:tc>
          <w:tcPr>
            <w:tcW w:w="13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napToGrid w:val="0"/>
                <w:color w:val="000000"/>
                <w:sz w:val="21"/>
                <w:szCs w:val="21"/>
                <w:highlight w:val="none"/>
              </w:rPr>
              <w:t>非甲烷总烃厂区内无组织排放监控点处 1h 平均浓度值：6mg/m</w:t>
            </w:r>
            <w:r>
              <w:rPr>
                <w:rFonts w:hint="default" w:ascii="Times New Roman" w:hAnsi="Times New Roman" w:cs="Times New Roman"/>
                <w:snapToGrid w:val="0"/>
                <w:color w:val="000000"/>
                <w:sz w:val="21"/>
                <w:szCs w:val="21"/>
                <w:highlight w:val="none"/>
                <w:vertAlign w:val="superscript"/>
              </w:rPr>
              <w:t>3</w:t>
            </w:r>
          </w:p>
        </w:tc>
        <w:tc>
          <w:tcPr>
            <w:tcW w:w="182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pacing w:val="5"/>
                <w:sz w:val="21"/>
                <w:szCs w:val="21"/>
              </w:rPr>
            </w:pPr>
            <w:r>
              <w:rPr>
                <w:rFonts w:hint="default" w:ascii="Times New Roman" w:hAnsi="Times New Roman" w:cs="Times New Roman"/>
                <w:snapToGrid w:val="0"/>
                <w:color w:val="000000"/>
                <w:sz w:val="21"/>
                <w:szCs w:val="21"/>
              </w:rPr>
              <w:t>《挥发性有机物无组织排放控制标准》（GB37822 -2019）表 A.1 厂区内 VOCs无组织特别排放限值</w:t>
            </w:r>
          </w:p>
        </w:tc>
        <w:tc>
          <w:tcPr>
            <w:tcW w:w="211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snapToGrid w:val="0"/>
                <w:color w:val="000000"/>
                <w:sz w:val="21"/>
                <w:szCs w:val="21"/>
                <w:lang w:eastAsia="zh-CN"/>
              </w:rPr>
            </w:pPr>
            <w:r>
              <w:rPr>
                <w:rFonts w:hint="eastAsia" w:ascii="Times New Roman" w:hAnsi="Times New Roman" w:cs="Times New Roman"/>
                <w:snapToGrid w:val="0"/>
                <w:color w:val="000000"/>
                <w:sz w:val="21"/>
                <w:szCs w:val="21"/>
                <w:lang w:eastAsia="zh-CN"/>
              </w:rPr>
              <w:t>落实，同时满足</w:t>
            </w:r>
            <w:r>
              <w:rPr>
                <w:rFonts w:hint="default" w:ascii="Times New Roman" w:hAnsi="Times New Roman" w:eastAsia="宋体" w:cs="Times New Roman"/>
                <w:sz w:val="21"/>
                <w:szCs w:val="21"/>
              </w:rPr>
              <w:t>《工业企业挥发性有机物排放控制标准》（DB13/2322-2016）</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3生产车间或生产设备边界大气污染物浓度限值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12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9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13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napToGrid w:val="0"/>
                <w:color w:val="000000"/>
                <w:sz w:val="21"/>
                <w:szCs w:val="21"/>
                <w:highlight w:val="none"/>
              </w:rPr>
              <w:t>排放监控点处任意一次浓度值：20mg/m</w:t>
            </w:r>
            <w:r>
              <w:rPr>
                <w:rFonts w:hint="default" w:ascii="Times New Roman" w:hAnsi="Times New Roman" w:cs="Times New Roman"/>
                <w:snapToGrid w:val="0"/>
                <w:color w:val="000000"/>
                <w:sz w:val="21"/>
                <w:szCs w:val="21"/>
                <w:highlight w:val="none"/>
                <w:vertAlign w:val="superscript"/>
              </w:rPr>
              <w:t>3</w:t>
            </w:r>
          </w:p>
        </w:tc>
        <w:tc>
          <w:tcPr>
            <w:tcW w:w="18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21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12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948" w:type="dxa"/>
            <w:noWrap w:val="0"/>
            <w:vAlign w:val="center"/>
          </w:tcPr>
          <w:p>
            <w:pPr>
              <w:adjustRightInd w:val="0"/>
              <w:snapToGrid w:val="0"/>
              <w:jc w:val="center"/>
              <w:rPr>
                <w:rFonts w:hint="default" w:ascii="Times New Roman" w:hAnsi="Times New Roman" w:cs="Times New Roman"/>
                <w:sz w:val="21"/>
                <w:szCs w:val="21"/>
              </w:rPr>
            </w:pPr>
            <w:r>
              <w:rPr>
                <w:rFonts w:hint="eastAsia" w:ascii="宋体" w:hAnsi="宋体" w:cs="宋体"/>
                <w:color w:val="000000"/>
                <w:szCs w:val="21"/>
                <w:shd w:val="clear" w:color="auto" w:fill="auto"/>
              </w:rPr>
              <w:t>氯化氢</w:t>
            </w: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1344"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color w:val="000000"/>
                <w:szCs w:val="21"/>
                <w:shd w:val="clear" w:color="auto" w:fill="auto"/>
              </w:rPr>
              <w:t>0.2mg/m</w:t>
            </w:r>
            <w:r>
              <w:rPr>
                <w:rFonts w:hint="default" w:ascii="Times New Roman" w:hAnsi="Times New Roman" w:cs="Times New Roman"/>
                <w:color w:val="000000"/>
                <w:szCs w:val="21"/>
                <w:shd w:val="clear" w:color="auto" w:fill="auto"/>
                <w:vertAlign w:val="superscript"/>
              </w:rPr>
              <w:t>3</w:t>
            </w:r>
          </w:p>
        </w:tc>
        <w:tc>
          <w:tcPr>
            <w:tcW w:w="1824" w:type="dxa"/>
            <w:vMerge w:val="restart"/>
            <w:noWrap w:val="0"/>
            <w:vAlign w:val="center"/>
          </w:tcPr>
          <w:p>
            <w:pPr>
              <w:keepNext w:val="0"/>
              <w:keepLines w:val="0"/>
              <w:pageBreakBefore w:val="0"/>
              <w:widowControl w:val="0"/>
              <w:tabs>
                <w:tab w:val="left" w:pos="2587"/>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r>
              <w:rPr>
                <w:rFonts w:hint="default" w:ascii="Times New Roman" w:hAnsi="Times New Roman" w:cs="Times New Roman"/>
                <w:color w:val="000000"/>
                <w:szCs w:val="21"/>
                <w:shd w:val="clear" w:color="auto" w:fill="auto"/>
              </w:rPr>
              <w:t>《烧碱、聚氯乙烯工业污染物排放标准》（GB15581-2016）中表5企业边界大气污染物浓度限值</w:t>
            </w:r>
          </w:p>
        </w:tc>
        <w:tc>
          <w:tcPr>
            <w:tcW w:w="2110" w:type="dxa"/>
            <w:vMerge w:val="restart"/>
            <w:noWrap w:val="0"/>
            <w:vAlign w:val="center"/>
          </w:tcPr>
          <w:p>
            <w:pPr>
              <w:keepNext w:val="0"/>
              <w:keepLines w:val="0"/>
              <w:pageBreakBefore w:val="0"/>
              <w:widowControl w:val="0"/>
              <w:tabs>
                <w:tab w:val="left" w:pos="2587"/>
              </w:tabs>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12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948" w:type="dxa"/>
            <w:noWrap w:val="0"/>
            <w:vAlign w:val="center"/>
          </w:tcPr>
          <w:p>
            <w:pPr>
              <w:adjustRightInd w:val="0"/>
              <w:snapToGrid w:val="0"/>
              <w:jc w:val="center"/>
              <w:rPr>
                <w:rFonts w:hint="default" w:ascii="Times New Roman" w:hAnsi="Times New Roman" w:cs="Times New Roman"/>
                <w:sz w:val="21"/>
                <w:szCs w:val="21"/>
              </w:rPr>
            </w:pPr>
            <w:r>
              <w:rPr>
                <w:rFonts w:hint="eastAsia" w:ascii="宋体" w:hAnsi="宋体" w:cs="宋体"/>
                <w:color w:val="000000"/>
                <w:szCs w:val="21"/>
                <w:shd w:val="clear" w:color="auto" w:fill="auto"/>
              </w:rPr>
              <w:t>氯乙烯</w:t>
            </w: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1344"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color w:val="000000"/>
                <w:szCs w:val="21"/>
                <w:shd w:val="clear" w:color="auto" w:fill="auto"/>
              </w:rPr>
              <w:t>0.15mg/m</w:t>
            </w:r>
            <w:r>
              <w:rPr>
                <w:rFonts w:hint="default" w:ascii="Times New Roman" w:hAnsi="Times New Roman" w:cs="Times New Roman"/>
                <w:color w:val="000000"/>
                <w:szCs w:val="21"/>
                <w:shd w:val="clear" w:color="auto" w:fill="auto"/>
                <w:vertAlign w:val="superscript"/>
              </w:rPr>
              <w:t>3</w:t>
            </w:r>
          </w:p>
        </w:tc>
        <w:tc>
          <w:tcPr>
            <w:tcW w:w="1824" w:type="dxa"/>
            <w:vMerge w:val="continue"/>
            <w:noWrap w:val="0"/>
            <w:vAlign w:val="center"/>
          </w:tcPr>
          <w:p>
            <w:pPr>
              <w:keepNext w:val="0"/>
              <w:keepLines w:val="0"/>
              <w:pageBreakBefore w:val="0"/>
              <w:widowControl w:val="0"/>
              <w:tabs>
                <w:tab w:val="left" w:pos="2587"/>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z w:val="21"/>
                <w:szCs w:val="21"/>
              </w:rPr>
            </w:pPr>
          </w:p>
        </w:tc>
        <w:tc>
          <w:tcPr>
            <w:tcW w:w="2110" w:type="dxa"/>
            <w:vMerge w:val="continue"/>
            <w:noWrap w:val="0"/>
            <w:vAlign w:val="center"/>
          </w:tcPr>
          <w:p>
            <w:pPr>
              <w:keepNext w:val="0"/>
              <w:keepLines w:val="0"/>
              <w:pageBreakBefore w:val="0"/>
              <w:widowControl w:val="0"/>
              <w:tabs>
                <w:tab w:val="left" w:pos="2587"/>
              </w:tabs>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sz w:val="21"/>
                <w:szCs w:val="21"/>
                <w:lang w:eastAsia="zh-CN"/>
              </w:rPr>
            </w:pP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104"/>
    <w:bookmarkEnd w:id="105"/>
    <w:bookmarkEnd w:id="106"/>
    <w:p>
      <w:pPr>
        <w:rPr>
          <w:rFonts w:hint="eastAsia" w:eastAsiaTheme="minorEastAsia"/>
          <w:lang w:val="en-US" w:eastAsia="zh-CN"/>
        </w:rPr>
      </w:pPr>
      <w:bookmarkStart w:id="108" w:name="_Toc24447"/>
      <w:bookmarkStart w:id="109" w:name="_Toc1887"/>
      <w:bookmarkStart w:id="110" w:name="_Toc5108"/>
      <w:bookmarkStart w:id="111" w:name="_Toc5987"/>
      <w:r>
        <w:rPr>
          <w:rFonts w:hint="eastAsia"/>
          <w:lang w:val="en-US" w:eastAsia="zh-CN"/>
        </w:rPr>
        <w:t>续上表</w:t>
      </w:r>
    </w:p>
    <w:tbl>
      <w:tblPr>
        <w:tblStyle w:val="22"/>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210"/>
        <w:gridCol w:w="948"/>
        <w:gridCol w:w="1320"/>
        <w:gridCol w:w="1344"/>
        <w:gridCol w:w="1824"/>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rPr>
            </w:pPr>
          </w:p>
          <w:p>
            <w:pPr>
              <w:pStyle w:val="2"/>
              <w:ind w:left="0" w:leftChars="0" w:firstLine="0" w:firstLineChars="0"/>
              <mc:AlternateContent>
                <mc:Choice Requires="wpsCustomData">
                  <wpsCustomData:diagonalParaType/>
                </mc:Choice>
              </mc:AlternateContent>
              <w:rPr>
                <w:rFonts w:hint="eastAsia" w:eastAsia="宋体"/>
                <w:lang w:eastAsia="zh-CN"/>
              </w:rPr>
            </w:pPr>
            <w:r>
              <w:rPr>
                <w:rFonts w:hint="eastAsia" w:ascii="Times New Roman" w:hAnsi="Times New Roman" w:cs="Times New Roman"/>
                <w:color w:val="000000"/>
                <w:sz w:val="21"/>
                <w:szCs w:val="21"/>
                <w:lang w:eastAsia="zh-CN"/>
              </w:rPr>
              <w:t>要素</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lang w:eastAsia="zh-CN"/>
              </w:rPr>
            </w:pPr>
            <w:r>
              <w:rPr>
                <w:rFonts w:hint="eastAsia"/>
                <w:lang w:eastAsia="zh-CN"/>
              </w:rPr>
              <w:t>内容</w:t>
            </w:r>
          </w:p>
        </w:tc>
        <w:tc>
          <w:tcPr>
            <w:tcW w:w="12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排放口(编号、名称)/污染源</w:t>
            </w: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napToGrid w:val="0"/>
                <w:color w:val="000000"/>
                <w:sz w:val="21"/>
                <w:szCs w:val="21"/>
              </w:rPr>
            </w:pPr>
            <w:r>
              <w:rPr>
                <w:rFonts w:hint="default" w:ascii="Times New Roman" w:hAnsi="Times New Roman" w:cs="Times New Roman"/>
                <w:color w:val="000000"/>
                <w:sz w:val="21"/>
                <w:szCs w:val="21"/>
              </w:rPr>
              <w:t>污染物项目</w:t>
            </w:r>
          </w:p>
        </w:tc>
        <w:tc>
          <w:tcPr>
            <w:tcW w:w="13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napToGrid w:val="0"/>
                <w:color w:val="000000"/>
                <w:sz w:val="21"/>
                <w:szCs w:val="21"/>
              </w:rPr>
            </w:pPr>
            <w:r>
              <w:rPr>
                <w:rFonts w:hint="default" w:ascii="Times New Roman" w:hAnsi="Times New Roman" w:cs="Times New Roman"/>
                <w:color w:val="000000"/>
                <w:sz w:val="21"/>
                <w:szCs w:val="21"/>
              </w:rPr>
              <w:t>环境保护措施</w:t>
            </w:r>
          </w:p>
        </w:tc>
        <w:tc>
          <w:tcPr>
            <w:tcW w:w="13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执行标准</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eastAsia="zh-CN"/>
              </w:rPr>
              <w:t>落实情况</w:t>
            </w:r>
          </w:p>
        </w:tc>
        <w:tc>
          <w:tcPr>
            <w:tcW w:w="21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sz w:val="21"/>
                <w:szCs w:val="21"/>
                <w:lang w:eastAsia="zh-CN"/>
              </w:rPr>
            </w:pPr>
            <w:r>
              <w:rPr>
                <w:rFonts w:hint="default" w:ascii="Times New Roman" w:hAnsi="Times New Roman" w:cs="Times New Roman"/>
                <w:color w:val="000000"/>
                <w:sz w:val="21"/>
                <w:szCs w:val="21"/>
              </w:rPr>
              <w:t>排放口(编号、名称)/污染源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地表水环境</w:t>
            </w:r>
          </w:p>
        </w:tc>
        <w:tc>
          <w:tcPr>
            <w:tcW w:w="1210" w:type="dxa"/>
            <w:noWrap w:val="0"/>
            <w:vAlign w:val="center"/>
          </w:tcPr>
          <w:p>
            <w:pPr>
              <w:adjustRightInd w:val="0"/>
              <w:snapToGrid w:val="0"/>
              <w:jc w:val="center"/>
              <w:rPr>
                <w:rFonts w:hint="default" w:ascii="宋体" w:hAnsi="宋体" w:cs="宋体" w:eastAsiaTheme="minorEastAsia"/>
                <w:color w:val="000000"/>
                <w:kern w:val="2"/>
                <w:sz w:val="21"/>
                <w:szCs w:val="21"/>
                <w:shd w:val="clear" w:color="auto" w:fill="auto"/>
                <w:lang w:val="en-US" w:eastAsia="zh-CN" w:bidi="ar-SA"/>
              </w:rPr>
            </w:pPr>
            <w:r>
              <w:rPr>
                <w:rFonts w:hint="eastAsia" w:ascii="宋体" w:hAnsi="宋体" w:cs="宋体"/>
                <w:color w:val="000000"/>
                <w:szCs w:val="21"/>
                <w:shd w:val="clear" w:color="auto" w:fill="auto"/>
              </w:rPr>
              <w:t>循环冷却</w:t>
            </w:r>
          </w:p>
        </w:tc>
        <w:tc>
          <w:tcPr>
            <w:tcW w:w="948" w:type="dxa"/>
            <w:noWrap w:val="0"/>
            <w:vAlign w:val="center"/>
          </w:tcPr>
          <w:p>
            <w:pPr>
              <w:adjustRightInd w:val="0"/>
              <w:snapToGrid w:val="0"/>
              <w:jc w:val="center"/>
              <w:rPr>
                <w:rFonts w:hint="default" w:asciiTheme="minorHAnsi" w:hAnsiTheme="minorHAnsi" w:eastAsiaTheme="minorEastAsia" w:cstheme="minorBidi"/>
                <w:color w:val="000000"/>
                <w:kern w:val="2"/>
                <w:sz w:val="21"/>
                <w:szCs w:val="21"/>
                <w:shd w:val="clear" w:color="auto" w:fill="auto"/>
                <w:lang w:val="en-US" w:eastAsia="zh-CN" w:bidi="ar-SA"/>
              </w:rPr>
            </w:pPr>
            <w:r>
              <w:rPr>
                <w:rFonts w:hint="eastAsia"/>
                <w:color w:val="000000"/>
                <w:szCs w:val="21"/>
                <w:shd w:val="clear" w:color="auto" w:fill="auto"/>
              </w:rPr>
              <w:t>SS</w:t>
            </w:r>
          </w:p>
        </w:tc>
        <w:tc>
          <w:tcPr>
            <w:tcW w:w="13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napToGrid w:val="0"/>
                <w:color w:val="000000"/>
                <w:sz w:val="21"/>
                <w:szCs w:val="21"/>
              </w:rPr>
            </w:pPr>
            <w:r>
              <w:rPr>
                <w:rFonts w:hint="eastAsia"/>
                <w:color w:val="000000"/>
                <w:szCs w:val="21"/>
                <w:shd w:val="clear" w:color="auto" w:fill="auto"/>
              </w:rPr>
              <w:t>循环使用</w:t>
            </w:r>
          </w:p>
        </w:tc>
        <w:tc>
          <w:tcPr>
            <w:tcW w:w="134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c>
          <w:tcPr>
            <w:tcW w:w="182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eastAsia="zh-CN"/>
              </w:rPr>
              <w:t>落实</w:t>
            </w:r>
          </w:p>
        </w:tc>
        <w:tc>
          <w:tcPr>
            <w:tcW w:w="211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210" w:type="dxa"/>
            <w:noWrap w:val="0"/>
            <w:vAlign w:val="center"/>
          </w:tcPr>
          <w:p>
            <w:pPr>
              <w:adjustRightInd w:val="0"/>
              <w:snapToGrid w:val="0"/>
              <w:jc w:val="center"/>
              <w:rPr>
                <w:rFonts w:hint="default" w:ascii="宋体" w:hAnsi="宋体" w:cs="宋体" w:eastAsiaTheme="minorEastAsia"/>
                <w:color w:val="000000"/>
                <w:kern w:val="2"/>
                <w:sz w:val="21"/>
                <w:szCs w:val="21"/>
                <w:shd w:val="clear" w:color="auto" w:fill="auto"/>
                <w:lang w:val="en-US" w:eastAsia="zh-CN" w:bidi="ar-SA"/>
              </w:rPr>
            </w:pPr>
            <w:r>
              <w:rPr>
                <w:rFonts w:hint="eastAsia" w:ascii="宋体" w:hAnsi="宋体" w:cs="宋体"/>
                <w:color w:val="000000"/>
                <w:szCs w:val="21"/>
                <w:shd w:val="clear" w:color="auto" w:fill="auto"/>
              </w:rPr>
              <w:t>厂区职工</w:t>
            </w:r>
          </w:p>
        </w:tc>
        <w:tc>
          <w:tcPr>
            <w:tcW w:w="948" w:type="dxa"/>
            <w:noWrap w:val="0"/>
            <w:vAlign w:val="center"/>
          </w:tcPr>
          <w:p>
            <w:pPr>
              <w:adjustRightInd w:val="0"/>
              <w:snapToGrid w:val="0"/>
              <w:jc w:val="center"/>
              <w:rPr>
                <w:color w:val="000000"/>
                <w:szCs w:val="21"/>
                <w:shd w:val="clear" w:color="auto" w:fill="auto"/>
              </w:rPr>
            </w:pPr>
            <w:r>
              <w:rPr>
                <w:color w:val="000000"/>
                <w:szCs w:val="21"/>
                <w:shd w:val="clear" w:color="auto" w:fill="auto"/>
              </w:rPr>
              <w:t>COD</w:t>
            </w:r>
          </w:p>
          <w:p>
            <w:pPr>
              <w:adjustRightInd w:val="0"/>
              <w:snapToGrid w:val="0"/>
              <w:jc w:val="center"/>
              <w:rPr>
                <w:color w:val="000000"/>
                <w:szCs w:val="21"/>
                <w:shd w:val="clear" w:color="auto" w:fill="auto"/>
              </w:rPr>
            </w:pPr>
            <w:r>
              <w:rPr>
                <w:color w:val="000000"/>
                <w:szCs w:val="21"/>
                <w:shd w:val="clear" w:color="auto" w:fill="auto"/>
              </w:rPr>
              <w:t>SS</w:t>
            </w:r>
          </w:p>
          <w:p>
            <w:pPr>
              <w:adjustRightInd w:val="0"/>
              <w:snapToGrid w:val="0"/>
              <w:jc w:val="center"/>
              <w:rPr>
                <w:rFonts w:hint="default" w:ascii="宋体" w:hAnsi="宋体" w:cs="宋体" w:eastAsiaTheme="minorEastAsia"/>
                <w:color w:val="000000"/>
                <w:kern w:val="2"/>
                <w:sz w:val="21"/>
                <w:szCs w:val="21"/>
                <w:shd w:val="clear" w:color="auto" w:fill="auto"/>
                <w:lang w:val="en-US" w:eastAsia="zh-CN" w:bidi="ar-SA"/>
              </w:rPr>
            </w:pPr>
            <w:r>
              <w:rPr>
                <w:color w:val="000000"/>
                <w:szCs w:val="21"/>
                <w:shd w:val="clear" w:color="auto" w:fill="auto"/>
              </w:rPr>
              <w:t>氨氮</w:t>
            </w:r>
          </w:p>
        </w:tc>
        <w:tc>
          <w:tcPr>
            <w:tcW w:w="13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napToGrid w:val="0"/>
                <w:color w:val="000000"/>
                <w:sz w:val="21"/>
                <w:szCs w:val="21"/>
              </w:rPr>
            </w:pPr>
            <w:r>
              <w:rPr>
                <w:color w:val="000000"/>
                <w:szCs w:val="21"/>
                <w:shd w:val="clear" w:color="auto" w:fill="auto"/>
              </w:rPr>
              <w:t>排入</w:t>
            </w:r>
            <w:r>
              <w:rPr>
                <w:rFonts w:hint="eastAsia"/>
                <w:color w:val="000000"/>
                <w:szCs w:val="21"/>
                <w:shd w:val="clear" w:color="auto" w:fill="auto"/>
              </w:rPr>
              <w:t>化粪池</w:t>
            </w:r>
            <w:r>
              <w:rPr>
                <w:color w:val="000000"/>
                <w:szCs w:val="21"/>
                <w:shd w:val="clear" w:color="auto" w:fill="auto"/>
              </w:rPr>
              <w:t>，定期清掏，不外排</w:t>
            </w:r>
          </w:p>
        </w:tc>
        <w:tc>
          <w:tcPr>
            <w:tcW w:w="134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8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21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声环境</w:t>
            </w:r>
          </w:p>
        </w:tc>
        <w:tc>
          <w:tcPr>
            <w:tcW w:w="12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厂界</w:t>
            </w: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snapToGrid w:val="0"/>
                <w:color w:val="000000"/>
                <w:sz w:val="21"/>
                <w:szCs w:val="21"/>
              </w:rPr>
              <w:t>等效连续A声级</w:t>
            </w:r>
          </w:p>
        </w:tc>
        <w:tc>
          <w:tcPr>
            <w:tcW w:w="13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color w:val="000000"/>
                <w:shd w:val="clear" w:color="auto" w:fill="auto"/>
              </w:rPr>
              <w:t>选用低噪声设备，设备的底座安装减振器，厂房隔声，再经过距离衰减</w:t>
            </w:r>
          </w:p>
        </w:tc>
        <w:tc>
          <w:tcPr>
            <w:tcW w:w="13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昼间：</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60dB（A）</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夜间：</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50dB（A）</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pacing w:val="-4"/>
                <w:sz w:val="21"/>
                <w:szCs w:val="21"/>
              </w:rPr>
            </w:pPr>
            <w:r>
              <w:rPr>
                <w:rFonts w:hint="default" w:ascii="Times New Roman" w:hAnsi="Times New Roman" w:cs="Times New Roman"/>
                <w:color w:val="000000"/>
                <w:sz w:val="21"/>
                <w:szCs w:val="21"/>
              </w:rPr>
              <w:t>《工业企业厂界环境噪声排放标准》(GB12348-2008)2类</w:t>
            </w:r>
          </w:p>
        </w:tc>
        <w:tc>
          <w:tcPr>
            <w:tcW w:w="21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sz w:val="21"/>
                <w:szCs w:val="21"/>
                <w:lang w:eastAsia="zh-CN"/>
              </w:rPr>
            </w:pPr>
            <w:r>
              <w:rPr>
                <w:rFonts w:hint="eastAsia" w:ascii="Times New Roman" w:hAnsi="Times New Roman" w:cs="Times New Roman"/>
                <w:color w:val="000000"/>
                <w:sz w:val="21"/>
                <w:szCs w:val="21"/>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固体废物</w:t>
            </w:r>
          </w:p>
        </w:tc>
        <w:tc>
          <w:tcPr>
            <w:tcW w:w="1210" w:type="dxa"/>
            <w:noWrap w:val="0"/>
            <w:vAlign w:val="center"/>
          </w:tcPr>
          <w:p>
            <w:pPr>
              <w:adjustRightInd w:val="0"/>
              <w:snapToGrid w:val="0"/>
              <w:jc w:val="center"/>
              <w:rPr>
                <w:rFonts w:hint="default" w:ascii="Times New Roman" w:hAnsi="Times New Roman" w:cs="Times New Roman"/>
                <w:snapToGrid w:val="0"/>
                <w:color w:val="000000"/>
                <w:sz w:val="21"/>
                <w:szCs w:val="21"/>
              </w:rPr>
            </w:pPr>
            <w:r>
              <w:rPr>
                <w:rFonts w:hint="eastAsia" w:ascii="宋体" w:hAnsi="宋体" w:cs="宋体"/>
                <w:color w:val="000000"/>
                <w:szCs w:val="21"/>
                <w:shd w:val="clear" w:color="auto" w:fill="auto"/>
              </w:rPr>
              <w:t>生产过程</w:t>
            </w:r>
          </w:p>
        </w:tc>
        <w:tc>
          <w:tcPr>
            <w:tcW w:w="948" w:type="dxa"/>
            <w:noWrap w:val="0"/>
            <w:vAlign w:val="center"/>
          </w:tcPr>
          <w:p>
            <w:pPr>
              <w:adjustRightInd w:val="0"/>
              <w:snapToGrid w:val="0"/>
              <w:jc w:val="center"/>
              <w:rPr>
                <w:rFonts w:hint="default" w:ascii="Times New Roman" w:hAnsi="Times New Roman" w:cs="Times New Roman"/>
                <w:snapToGrid w:val="0"/>
                <w:color w:val="000000"/>
                <w:sz w:val="21"/>
                <w:szCs w:val="21"/>
              </w:rPr>
            </w:pPr>
            <w:r>
              <w:rPr>
                <w:rFonts w:hint="eastAsia"/>
                <w:color w:val="000000"/>
                <w:szCs w:val="21"/>
                <w:shd w:val="clear" w:color="auto" w:fill="auto"/>
              </w:rPr>
              <w:t>下脚料</w:t>
            </w:r>
          </w:p>
        </w:tc>
        <w:tc>
          <w:tcPr>
            <w:tcW w:w="1320" w:type="dxa"/>
            <w:noWrap w:val="0"/>
            <w:vAlign w:val="center"/>
          </w:tcPr>
          <w:p>
            <w:pPr>
              <w:adjustRightInd w:val="0"/>
              <w:snapToGrid w:val="0"/>
              <w:jc w:val="center"/>
              <w:rPr>
                <w:rFonts w:hint="default" w:ascii="Times New Roman" w:hAnsi="Times New Roman" w:cs="Times New Roman"/>
                <w:snapToGrid w:val="0"/>
                <w:color w:val="000000"/>
                <w:sz w:val="21"/>
                <w:szCs w:val="21"/>
              </w:rPr>
            </w:pPr>
            <w:r>
              <w:rPr>
                <w:rFonts w:hint="eastAsia"/>
                <w:color w:val="000000"/>
                <w:szCs w:val="21"/>
                <w:shd w:val="clear" w:color="auto" w:fill="auto"/>
              </w:rPr>
              <w:t>收集后外售综合利用</w:t>
            </w:r>
          </w:p>
        </w:tc>
        <w:tc>
          <w:tcPr>
            <w:tcW w:w="3168" w:type="dxa"/>
            <w:gridSpan w:val="2"/>
            <w:noWrap w:val="0"/>
            <w:vAlign w:val="center"/>
          </w:tcPr>
          <w:p>
            <w:pPr>
              <w:adjustRightInd w:val="0"/>
              <w:snapToGrid w:val="0"/>
              <w:jc w:val="center"/>
              <w:rPr>
                <w:rFonts w:hint="default" w:ascii="Times New Roman" w:hAnsi="Times New Roman" w:cs="Times New Roman"/>
                <w:snapToGrid w:val="0"/>
                <w:color w:val="000000"/>
                <w:sz w:val="21"/>
                <w:szCs w:val="21"/>
              </w:rPr>
            </w:pPr>
            <w:r>
              <w:rPr>
                <w:rFonts w:hint="eastAsia"/>
                <w:color w:val="000000"/>
                <w:szCs w:val="21"/>
                <w:shd w:val="clear" w:color="auto" w:fill="auto"/>
              </w:rPr>
              <w:t>《一般工业固体废物贮存、处置场污染控制标准》（GB18599-2001）及2013年36号修改单相关规定</w:t>
            </w:r>
          </w:p>
        </w:tc>
        <w:tc>
          <w:tcPr>
            <w:tcW w:w="211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snapToGrid w:val="0"/>
                <w:color w:val="000000"/>
                <w:sz w:val="21"/>
                <w:szCs w:val="21"/>
                <w:lang w:eastAsia="zh-CN"/>
              </w:rPr>
            </w:pPr>
            <w:r>
              <w:rPr>
                <w:rFonts w:hint="eastAsia" w:ascii="Times New Roman" w:hAnsi="Times New Roman" w:cs="Times New Roman"/>
                <w:snapToGrid w:val="0"/>
                <w:color w:val="000000"/>
                <w:sz w:val="21"/>
                <w:szCs w:val="21"/>
                <w:lang w:eastAsia="zh-CN"/>
              </w:rPr>
              <w:t>均得到妥善安置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210" w:type="dxa"/>
            <w:noWrap w:val="0"/>
            <w:vAlign w:val="center"/>
          </w:tcPr>
          <w:p>
            <w:pPr>
              <w:adjustRightInd w:val="0"/>
              <w:snapToGrid w:val="0"/>
              <w:jc w:val="center"/>
              <w:rPr>
                <w:rFonts w:hint="default" w:ascii="Times New Roman" w:hAnsi="Times New Roman" w:cs="Times New Roman"/>
                <w:color w:val="000000"/>
                <w:sz w:val="21"/>
                <w:szCs w:val="21"/>
              </w:rPr>
            </w:pPr>
            <w:r>
              <w:rPr>
                <w:rFonts w:hint="eastAsia"/>
                <w:color w:val="000000"/>
                <w:szCs w:val="21"/>
                <w:shd w:val="clear" w:color="auto" w:fill="auto"/>
              </w:rPr>
              <w:t>废气处理装置</w:t>
            </w:r>
          </w:p>
        </w:tc>
        <w:tc>
          <w:tcPr>
            <w:tcW w:w="948" w:type="dxa"/>
            <w:noWrap w:val="0"/>
            <w:vAlign w:val="center"/>
          </w:tcPr>
          <w:p>
            <w:pPr>
              <w:adjustRightInd w:val="0"/>
              <w:snapToGrid w:val="0"/>
              <w:jc w:val="center"/>
              <w:rPr>
                <w:rFonts w:hint="eastAsia"/>
                <w:color w:val="000000"/>
                <w:szCs w:val="21"/>
                <w:shd w:val="clear" w:color="auto" w:fill="auto"/>
              </w:rPr>
            </w:pPr>
            <w:r>
              <w:rPr>
                <w:rFonts w:hint="eastAsia"/>
                <w:color w:val="000000"/>
                <w:szCs w:val="21"/>
                <w:shd w:val="clear" w:color="auto" w:fill="auto"/>
              </w:rPr>
              <w:t>废活</w:t>
            </w:r>
          </w:p>
          <w:p>
            <w:pPr>
              <w:adjustRightInd w:val="0"/>
              <w:snapToGrid w:val="0"/>
              <w:jc w:val="center"/>
              <w:rPr>
                <w:rFonts w:hint="default" w:ascii="Times New Roman" w:hAnsi="Times New Roman" w:cs="Times New Roman"/>
                <w:color w:val="000000"/>
                <w:sz w:val="21"/>
                <w:szCs w:val="21"/>
              </w:rPr>
            </w:pPr>
            <w:r>
              <w:rPr>
                <w:rFonts w:hint="eastAsia"/>
                <w:color w:val="000000"/>
                <w:szCs w:val="21"/>
                <w:shd w:val="clear" w:color="auto" w:fill="auto"/>
              </w:rPr>
              <w:t>性炭</w:t>
            </w:r>
          </w:p>
        </w:tc>
        <w:tc>
          <w:tcPr>
            <w:tcW w:w="1320" w:type="dxa"/>
            <w:noWrap w:val="0"/>
            <w:vAlign w:val="center"/>
          </w:tcPr>
          <w:p>
            <w:pPr>
              <w:adjustRightInd w:val="0"/>
              <w:snapToGrid w:val="0"/>
              <w:jc w:val="center"/>
              <w:rPr>
                <w:rFonts w:hint="default" w:ascii="Times New Roman" w:hAnsi="Times New Roman" w:cs="Times New Roman"/>
                <w:snapToGrid w:val="0"/>
                <w:color w:val="000000"/>
                <w:sz w:val="21"/>
                <w:szCs w:val="21"/>
              </w:rPr>
            </w:pPr>
            <w:r>
              <w:rPr>
                <w:rFonts w:hint="eastAsia"/>
                <w:color w:val="000000"/>
                <w:szCs w:val="21"/>
                <w:shd w:val="clear" w:color="auto" w:fill="auto"/>
              </w:rPr>
              <w:t>危废间暂存，委托具有危险废物处理资质单位定期运走处置</w:t>
            </w:r>
          </w:p>
        </w:tc>
        <w:tc>
          <w:tcPr>
            <w:tcW w:w="3168" w:type="dxa"/>
            <w:gridSpan w:val="2"/>
            <w:noWrap w:val="0"/>
            <w:vAlign w:val="center"/>
          </w:tcPr>
          <w:p>
            <w:pPr>
              <w:adjustRightInd w:val="0"/>
              <w:snapToGrid w:val="0"/>
              <w:jc w:val="center"/>
              <w:rPr>
                <w:rFonts w:hint="default" w:ascii="Times New Roman" w:hAnsi="Times New Roman" w:cs="Times New Roman"/>
                <w:snapToGrid w:val="0"/>
                <w:color w:val="000000"/>
                <w:sz w:val="21"/>
                <w:szCs w:val="21"/>
              </w:rPr>
            </w:pPr>
            <w:r>
              <w:rPr>
                <w:rFonts w:hint="eastAsia"/>
                <w:color w:val="000000"/>
                <w:szCs w:val="21"/>
                <w:shd w:val="clear" w:color="auto" w:fill="auto"/>
              </w:rPr>
              <w:t>《危险废物贮存污染控制标准》（GB18597-2001）及其修改单</w:t>
            </w:r>
          </w:p>
        </w:tc>
        <w:tc>
          <w:tcPr>
            <w:tcW w:w="21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napToGrid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sz w:val="21"/>
                <w:szCs w:val="21"/>
              </w:rPr>
            </w:pPr>
          </w:p>
        </w:tc>
        <w:tc>
          <w:tcPr>
            <w:tcW w:w="1210" w:type="dxa"/>
            <w:noWrap w:val="0"/>
            <w:vAlign w:val="center"/>
          </w:tcPr>
          <w:p>
            <w:pPr>
              <w:adjustRightInd w:val="0"/>
              <w:snapToGrid w:val="0"/>
              <w:jc w:val="center"/>
              <w:rPr>
                <w:rFonts w:hint="default" w:ascii="Times New Roman" w:hAnsi="Times New Roman" w:cs="Times New Roman"/>
                <w:color w:val="000000"/>
                <w:sz w:val="21"/>
                <w:szCs w:val="21"/>
              </w:rPr>
            </w:pPr>
            <w:r>
              <w:rPr>
                <w:rFonts w:hint="eastAsia"/>
                <w:color w:val="000000"/>
                <w:szCs w:val="21"/>
                <w:shd w:val="clear" w:color="auto" w:fill="auto"/>
              </w:rPr>
              <w:t>职工生活</w:t>
            </w:r>
          </w:p>
        </w:tc>
        <w:tc>
          <w:tcPr>
            <w:tcW w:w="948" w:type="dxa"/>
            <w:noWrap w:val="0"/>
            <w:vAlign w:val="center"/>
          </w:tcPr>
          <w:p>
            <w:pPr>
              <w:adjustRightInd w:val="0"/>
              <w:snapToGrid w:val="0"/>
              <w:jc w:val="center"/>
              <w:rPr>
                <w:rFonts w:hint="eastAsia"/>
                <w:color w:val="000000"/>
                <w:szCs w:val="21"/>
                <w:shd w:val="clear" w:color="auto" w:fill="auto"/>
              </w:rPr>
            </w:pPr>
            <w:r>
              <w:rPr>
                <w:rFonts w:hint="eastAsia"/>
                <w:color w:val="000000"/>
                <w:szCs w:val="21"/>
                <w:shd w:val="clear" w:color="auto" w:fill="auto"/>
              </w:rPr>
              <w:t>生活</w:t>
            </w:r>
          </w:p>
          <w:p>
            <w:pPr>
              <w:adjustRightInd w:val="0"/>
              <w:snapToGrid w:val="0"/>
              <w:jc w:val="center"/>
              <w:rPr>
                <w:rFonts w:hint="default" w:ascii="Times New Roman" w:hAnsi="Times New Roman" w:cs="Times New Roman"/>
                <w:color w:val="000000"/>
                <w:sz w:val="21"/>
                <w:szCs w:val="21"/>
              </w:rPr>
            </w:pPr>
            <w:r>
              <w:rPr>
                <w:rFonts w:hint="eastAsia"/>
                <w:color w:val="000000"/>
                <w:szCs w:val="21"/>
                <w:shd w:val="clear" w:color="auto" w:fill="auto"/>
              </w:rPr>
              <w:t>垃圾</w:t>
            </w:r>
          </w:p>
        </w:tc>
        <w:tc>
          <w:tcPr>
            <w:tcW w:w="1320" w:type="dxa"/>
            <w:noWrap w:val="0"/>
            <w:vAlign w:val="center"/>
          </w:tcPr>
          <w:p>
            <w:pPr>
              <w:adjustRightInd w:val="0"/>
              <w:snapToGrid w:val="0"/>
              <w:jc w:val="center"/>
              <w:rPr>
                <w:rFonts w:hint="default" w:ascii="Times New Roman" w:hAnsi="Times New Roman" w:cs="Times New Roman"/>
                <w:snapToGrid w:val="0"/>
                <w:color w:val="000000"/>
                <w:sz w:val="21"/>
                <w:szCs w:val="21"/>
              </w:rPr>
            </w:pPr>
            <w:r>
              <w:rPr>
                <w:rFonts w:hint="eastAsia"/>
                <w:color w:val="000000"/>
                <w:szCs w:val="21"/>
                <w:shd w:val="clear" w:color="auto" w:fill="auto"/>
              </w:rPr>
              <w:t>收集后由环卫部门定期清运</w:t>
            </w:r>
          </w:p>
        </w:tc>
        <w:tc>
          <w:tcPr>
            <w:tcW w:w="3168" w:type="dxa"/>
            <w:gridSpan w:val="2"/>
            <w:noWrap w:val="0"/>
            <w:vAlign w:val="center"/>
          </w:tcPr>
          <w:p>
            <w:pPr>
              <w:adjustRightInd w:val="0"/>
              <w:snapToGrid w:val="0"/>
              <w:jc w:val="center"/>
              <w:rPr>
                <w:rFonts w:hint="default" w:ascii="Times New Roman" w:hAnsi="Times New Roman" w:cs="Times New Roman"/>
                <w:snapToGrid w:val="0"/>
                <w:color w:val="000000"/>
                <w:sz w:val="21"/>
                <w:szCs w:val="21"/>
              </w:rPr>
            </w:pPr>
            <w:r>
              <w:rPr>
                <w:rFonts w:hint="eastAsia"/>
                <w:color w:val="000000"/>
                <w:szCs w:val="21"/>
                <w:shd w:val="clear" w:color="auto" w:fill="auto"/>
              </w:rPr>
              <w:t>《河北省固体废物污染环境防治条例》要求</w:t>
            </w:r>
          </w:p>
        </w:tc>
        <w:tc>
          <w:tcPr>
            <w:tcW w:w="211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snapToGrid w:val="0"/>
                <w:color w:val="000000"/>
                <w:sz w:val="21"/>
                <w:szCs w:val="21"/>
              </w:rPr>
            </w:pPr>
          </w:p>
        </w:tc>
      </w:tr>
    </w:tbl>
    <w:p>
      <w:pPr>
        <w:pStyle w:val="6"/>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2.10 验收范围及内容</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cs="Times New Roman"/>
          <w:sz w:val="24"/>
          <w:szCs w:val="24"/>
        </w:rPr>
        <w:t>项目占地面积</w:t>
      </w:r>
      <w:r>
        <w:rPr>
          <w:rFonts w:hint="eastAsia" w:ascii="Times New Roman" w:hAnsi="Times New Roman" w:cs="Times New Roman"/>
          <w:sz w:val="24"/>
          <w:szCs w:val="24"/>
          <w:lang w:val="en-US" w:eastAsia="zh-CN"/>
        </w:rPr>
        <w:t>70</w:t>
      </w:r>
      <w:r>
        <w:rPr>
          <w:rFonts w:hint="default" w:ascii="Times New Roman" w:hAnsi="Times New Roman" w:cs="Times New Roman"/>
          <w:sz w:val="24"/>
          <w:szCs w:val="24"/>
        </w:rPr>
        <w:t>00m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，租用旧厂房</w:t>
      </w:r>
      <w:r>
        <w:rPr>
          <w:rFonts w:hint="eastAsia" w:ascii="Times New Roman" w:hAnsi="Times New Roman" w:cs="Times New Roman"/>
          <w:sz w:val="24"/>
          <w:szCs w:val="24"/>
          <w:lang w:val="en-US" w:eastAsia="zh-CN"/>
        </w:rPr>
        <w:t>70</w:t>
      </w:r>
      <w:r>
        <w:rPr>
          <w:rFonts w:hint="default" w:ascii="Times New Roman" w:hAnsi="Times New Roman" w:cs="Times New Roman"/>
          <w:sz w:val="24"/>
          <w:szCs w:val="24"/>
        </w:rPr>
        <w:t>00m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，无新增建筑面积，其中车间3</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00m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r>
        <w:rPr>
          <w:rFonts w:hint="eastAsia" w:ascii="Times New Roman" w:hAnsi="Times New Roman" w:cs="Times New Roman"/>
          <w:sz w:val="24"/>
          <w:szCs w:val="24"/>
          <w:lang w:eastAsia="zh-CN"/>
        </w:rPr>
        <w:t>仓库</w:t>
      </w:r>
      <w:r>
        <w:rPr>
          <w:rFonts w:hint="eastAsia" w:ascii="Times New Roman" w:hAnsi="Times New Roman" w:cs="Times New Roman"/>
          <w:sz w:val="24"/>
          <w:szCs w:val="24"/>
          <w:lang w:val="en-US" w:eastAsia="zh-CN"/>
        </w:rPr>
        <w:t>35</w:t>
      </w:r>
      <w:r>
        <w:rPr>
          <w:rFonts w:hint="default" w:ascii="Times New Roman" w:hAnsi="Times New Roman" w:cs="Times New Roman"/>
          <w:sz w:val="24"/>
          <w:szCs w:val="24"/>
        </w:rPr>
        <w:t>00m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r>
        <w:rPr>
          <w:rFonts w:hint="eastAsia" w:ascii="Times New Roman" w:hAnsi="Times New Roman" w:cs="Times New Roman"/>
          <w:sz w:val="24"/>
          <w:szCs w:val="24"/>
          <w:lang w:eastAsia="zh-CN"/>
        </w:rPr>
        <w:t>办公区域</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00m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r>
        <w:rPr>
          <w:rFonts w:hint="default" w:ascii="Times New Roman" w:hAnsi="Times New Roman" w:eastAsia="宋体" w:cs="Times New Roman"/>
          <w:sz w:val="24"/>
          <w:szCs w:val="24"/>
          <w:lang w:val="en-US" w:eastAsia="zh-CN"/>
        </w:rPr>
        <w:t>建设单位按照环评要求落实各项污染防治措施。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环保设施已经建设完成工程有：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①废气—本项目废气主要为</w:t>
      </w:r>
      <w:r>
        <w:rPr>
          <w:rFonts w:hint="default" w:ascii="Times New Roman" w:hAnsi="Times New Roman" w:cs="Times New Roman"/>
          <w:color w:val="000000"/>
          <w:sz w:val="24"/>
          <w:szCs w:val="24"/>
          <w:shd w:val="clear" w:color="auto" w:fill="auto"/>
        </w:rPr>
        <w:t>塑化工序产生</w:t>
      </w:r>
      <w:r>
        <w:rPr>
          <w:rFonts w:hint="default" w:ascii="Times New Roman" w:hAnsi="Times New Roman" w:eastAsia="宋体" w:cs="Times New Roman"/>
          <w:sz w:val="24"/>
          <w:szCs w:val="24"/>
          <w:lang w:val="en-US" w:eastAsia="zh-CN"/>
        </w:rPr>
        <w:t>的有机废气，主要污染因子为</w:t>
      </w:r>
      <w:r>
        <w:rPr>
          <w:rFonts w:hint="eastAsia" w:ascii="Times New Roman" w:hAnsi="Times New Roman" w:cs="Times New Roman"/>
          <w:sz w:val="24"/>
          <w:szCs w:val="24"/>
          <w:lang w:val="en-US" w:eastAsia="zh-CN"/>
        </w:rPr>
        <w:t>非甲烷总烃、氯乙烯、氯化氢</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highlight w:val="none"/>
          <w:lang w:val="en-US" w:eastAsia="zh-CN"/>
        </w:rPr>
        <w:t>工序上方设置集气罩收集后经等离子净化机+二级活性炭装置处理后通过15m高排气筒排放</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为具体检测内容。</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②废水—</w:t>
      </w:r>
      <w:r>
        <w:rPr>
          <w:rFonts w:hint="default" w:ascii="Times New Roman" w:hAnsi="Times New Roman" w:cs="Times New Roman"/>
          <w:sz w:val="24"/>
          <w:szCs w:val="24"/>
        </w:rPr>
        <w:t>本项目无生产废水产生，生产工序冷却水循环使用不外排；项目废水主要为生活废水，全部排入防渗化粪池，由当地农民定期清掏作为农肥使用，不外排</w:t>
      </w:r>
      <w:r>
        <w:rPr>
          <w:rFonts w:hint="eastAsia" w:ascii="Times New Roman" w:hAnsi="Times New Roman" w:cs="Times New Roman"/>
          <w:sz w:val="24"/>
          <w:szCs w:val="24"/>
          <w:lang w:eastAsia="zh-CN"/>
        </w:rPr>
        <w:t>，为检查内容</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③噪声—</w:t>
      </w:r>
      <w:r>
        <w:rPr>
          <w:rFonts w:hint="default" w:ascii="Times New Roman" w:hAnsi="Times New Roman" w:eastAsia="宋体" w:cs="Times New Roman"/>
          <w:sz w:val="24"/>
          <w:szCs w:val="24"/>
          <w:lang w:val="en-US" w:eastAsia="zh-CN"/>
        </w:rPr>
        <w:t>本项目噪声主要为生产设备工作时产生的噪声。产噪设备选用低噪声设备、采取减振降噪措施、再经墙体隔声和距离衰减后进入周边环境</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eastAsia="zh-CN"/>
        </w:rPr>
        <w:t>为具体检测内</w:t>
      </w:r>
      <w:r>
        <w:rPr>
          <w:rFonts w:hint="default" w:ascii="Times New Roman" w:hAnsi="Times New Roman" w:eastAsia="宋体" w:cs="Times New Roman"/>
          <w:sz w:val="24"/>
          <w:szCs w:val="24"/>
          <w:lang w:val="en-US" w:eastAsia="zh-CN"/>
        </w:rPr>
        <w:t>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④固体废物—本项目固废</w:t>
      </w:r>
      <w:r>
        <w:rPr>
          <w:rFonts w:hint="eastAsia" w:ascii="Times New Roman" w:hAnsi="Times New Roman" w:cs="Times New Roman"/>
          <w:sz w:val="24"/>
          <w:szCs w:val="24"/>
          <w:highlight w:val="none"/>
          <w:lang w:val="en-US" w:eastAsia="zh-CN"/>
        </w:rPr>
        <w:t>主要为切割工序产生的下脚料，收集后回用于生产；活性炭吸附装置产生废活性炭，收集后存放于厂内危废暂存间，定期交由有资质单位集中处置；生活垃圾收集后交由环卫部门统一处理</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eastAsia="zh-CN"/>
        </w:rPr>
        <w:t>为</w:t>
      </w:r>
      <w:r>
        <w:rPr>
          <w:rFonts w:hint="default" w:ascii="Times New Roman" w:hAnsi="Times New Roman" w:eastAsia="宋体" w:cs="Times New Roman"/>
          <w:sz w:val="24"/>
          <w:szCs w:val="24"/>
        </w:rPr>
        <w:t>检查内容。</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⑤工程环评及环评审批意见落实情况、环保设施的建设运行情况、环保机构及规章制度建设情况等，为本工程验收报告的检查内容。</w:t>
      </w:r>
    </w:p>
    <w:p>
      <w:pPr>
        <w:bidi w:val="0"/>
        <w:rPr>
          <w:rFonts w:hint="default"/>
        </w:rPr>
      </w:pPr>
      <w:bookmarkStart w:id="112" w:name="_Toc21809"/>
      <w:r>
        <w:rPr>
          <w:rFonts w:hint="default"/>
        </w:rPr>
        <w:br w:type="page"/>
      </w:r>
    </w:p>
    <w:p>
      <w:pPr>
        <w:pStyle w:val="5"/>
        <w:keepNext w:val="0"/>
        <w:keepLines w:val="0"/>
        <w:pageBreakBefore w:val="0"/>
        <w:widowControl w:val="0"/>
        <w:kinsoku/>
        <w:wordWrap/>
        <w:overflowPunct/>
        <w:topLinePunct w:val="0"/>
        <w:autoSpaceDE/>
        <w:autoSpaceDN/>
        <w:bidi w:val="0"/>
        <w:spacing w:line="324" w:lineRule="auto"/>
        <w:textAlignment w:val="auto"/>
        <w:rPr>
          <w:rFonts w:hint="default" w:ascii="Times New Roman" w:hAnsi="Times New Roman" w:eastAsia="宋体" w:cs="Times New Roman"/>
        </w:rPr>
      </w:pPr>
      <w:bookmarkStart w:id="113" w:name="_Toc8056"/>
      <w:bookmarkStart w:id="114" w:name="_Toc12475"/>
      <w:bookmarkStart w:id="115" w:name="_Toc27751"/>
      <w:r>
        <w:rPr>
          <w:rFonts w:hint="default" w:ascii="Times New Roman" w:hAnsi="Times New Roman" w:eastAsia="宋体" w:cs="Times New Roman"/>
        </w:rPr>
        <w:t>3 主要污染源及治理措施</w:t>
      </w:r>
      <w:bookmarkEnd w:id="112"/>
      <w:bookmarkEnd w:id="113"/>
      <w:bookmarkEnd w:id="114"/>
      <w:bookmarkEnd w:id="115"/>
    </w:p>
    <w:p>
      <w:pPr>
        <w:pStyle w:val="6"/>
        <w:keepNext w:val="0"/>
        <w:keepLines w:val="0"/>
        <w:pageBreakBefore w:val="0"/>
        <w:widowControl w:val="0"/>
        <w:kinsoku/>
        <w:wordWrap/>
        <w:overflowPunct/>
        <w:topLinePunct w:val="0"/>
        <w:autoSpaceDE/>
        <w:autoSpaceDN/>
        <w:bidi w:val="0"/>
        <w:spacing w:line="324" w:lineRule="auto"/>
        <w:textAlignment w:val="auto"/>
        <w:rPr>
          <w:rFonts w:hint="default" w:ascii="Times New Roman" w:hAnsi="Times New Roman" w:eastAsia="宋体" w:cs="Times New Roman"/>
        </w:rPr>
      </w:pPr>
      <w:bookmarkStart w:id="116" w:name="_Toc16512"/>
      <w:bookmarkStart w:id="117" w:name="_Toc10538"/>
      <w:bookmarkStart w:id="118" w:name="_Toc381"/>
      <w:bookmarkStart w:id="119" w:name="_Toc31233"/>
      <w:r>
        <w:rPr>
          <w:rFonts w:hint="default" w:ascii="Times New Roman" w:hAnsi="Times New Roman" w:eastAsia="宋体" w:cs="Times New Roman"/>
        </w:rPr>
        <w:t>3.1 施工期主要污染源及治理措施</w:t>
      </w:r>
      <w:bookmarkEnd w:id="116"/>
      <w:bookmarkEnd w:id="117"/>
      <w:bookmarkEnd w:id="118"/>
      <w:bookmarkEnd w:id="119"/>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cs="Times New Roman"/>
          <w:spacing w:val="-3"/>
          <w:sz w:val="24"/>
          <w:highlight w:val="none"/>
        </w:rPr>
      </w:pPr>
      <w:r>
        <w:rPr>
          <w:rFonts w:hint="default" w:ascii="Times New Roman" w:hAnsi="Times New Roman" w:cs="Times New Roman"/>
          <w:spacing w:val="-3"/>
          <w:sz w:val="24"/>
          <w:highlight w:val="none"/>
        </w:rPr>
        <w:t>本项目所用厂房为租赁现有厂房，本项目对其生产车间、办公室进行改造。施工期主要环境影响为设备安装过程产生的噪声。主要来源于包括施工现场的各类机械设备、设备装卸碰撞噪声和机械设备调试噪声。通过合理安排施工时间，合理布局施工现场，降低人为噪声。同时，通过选用低噪声施工机械等有效措施，施工场界噪声可以达到《建筑施工场界环境噪声排放标准》（GB12523-2011），对环境影响较小。</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pacing w:val="-3"/>
          <w:sz w:val="24"/>
          <w:highlight w:val="none"/>
        </w:rPr>
        <w:t>施工期对周围环境的影响是局部的，暂时的，随着工程的建成完工而消失</w:t>
      </w:r>
      <w:r>
        <w:rPr>
          <w:rFonts w:hint="eastAsia"/>
          <w:spacing w:val="-3"/>
          <w:sz w:val="24"/>
          <w:highlight w:val="none"/>
        </w:rPr>
        <w:t>。</w:t>
      </w:r>
    </w:p>
    <w:p>
      <w:pPr>
        <w:pStyle w:val="6"/>
        <w:keepNext w:val="0"/>
        <w:keepLines w:val="0"/>
        <w:pageBreakBefore w:val="0"/>
        <w:widowControl w:val="0"/>
        <w:kinsoku/>
        <w:wordWrap/>
        <w:overflowPunct/>
        <w:topLinePunct w:val="0"/>
        <w:autoSpaceDE/>
        <w:autoSpaceDN/>
        <w:bidi w:val="0"/>
        <w:adjustRightInd/>
        <w:snapToGrid/>
        <w:spacing w:line="324" w:lineRule="auto"/>
        <w:ind w:left="0" w:leftChars="0" w:right="0" w:rightChars="0" w:firstLine="0" w:firstLineChars="0"/>
        <w:jc w:val="both"/>
        <w:textAlignment w:val="auto"/>
        <w:outlineLvl w:val="1"/>
        <w:rPr>
          <w:rFonts w:hint="default" w:ascii="Times New Roman" w:hAnsi="Times New Roman" w:eastAsia="宋体" w:cs="Times New Roman"/>
        </w:rPr>
      </w:pPr>
      <w:bookmarkStart w:id="120" w:name="_Toc22056"/>
      <w:bookmarkStart w:id="121" w:name="_Toc25292"/>
      <w:bookmarkStart w:id="122" w:name="_Toc15224"/>
      <w:bookmarkStart w:id="123" w:name="_Toc23781"/>
      <w:r>
        <w:rPr>
          <w:rFonts w:hint="default" w:ascii="Times New Roman" w:hAnsi="Times New Roman" w:eastAsia="宋体" w:cs="Times New Roman"/>
        </w:rPr>
        <w:t>3.2 运行期主要污染源及治理措施</w:t>
      </w:r>
      <w:bookmarkEnd w:id="120"/>
      <w:bookmarkEnd w:id="121"/>
      <w:bookmarkEnd w:id="122"/>
      <w:bookmarkEnd w:id="123"/>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2"/>
        <w:rPr>
          <w:rFonts w:hint="default" w:ascii="Times New Roman" w:hAnsi="Times New Roman" w:eastAsia="宋体" w:cs="Times New Roman"/>
        </w:rPr>
      </w:pPr>
      <w:bookmarkStart w:id="124" w:name="_Toc497001461"/>
      <w:bookmarkStart w:id="125" w:name="_Toc496979024"/>
      <w:bookmarkStart w:id="126" w:name="_Toc21177"/>
      <w:bookmarkStart w:id="127" w:name="_Toc8094"/>
      <w:bookmarkStart w:id="128" w:name="_Toc3760"/>
      <w:bookmarkStart w:id="129" w:name="_Toc8524"/>
      <w:r>
        <w:rPr>
          <w:rFonts w:hint="default" w:ascii="Times New Roman" w:hAnsi="Times New Roman" w:eastAsia="宋体" w:cs="Times New Roman"/>
        </w:rPr>
        <w:t>3.2.1 废</w:t>
      </w:r>
      <w:bookmarkEnd w:id="124"/>
      <w:bookmarkEnd w:id="125"/>
      <w:r>
        <w:rPr>
          <w:rFonts w:hint="default" w:ascii="Times New Roman" w:hAnsi="Times New Roman" w:eastAsia="宋体" w:cs="Times New Roman"/>
        </w:rPr>
        <w:t>气</w:t>
      </w:r>
      <w:bookmarkEnd w:id="126"/>
      <w:bookmarkEnd w:id="127"/>
      <w:bookmarkEnd w:id="128"/>
      <w:bookmarkEnd w:id="1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rPr>
        <w:t>本项目废气主要为</w:t>
      </w:r>
      <w:r>
        <w:rPr>
          <w:rFonts w:hint="eastAsia" w:ascii="Times New Roman" w:hAnsi="Times New Roman" w:cs="Times New Roman"/>
          <w:sz w:val="24"/>
          <w:szCs w:val="24"/>
          <w:lang w:val="en-US" w:eastAsia="zh-CN"/>
        </w:rPr>
        <w:t>塑化</w:t>
      </w:r>
      <w:r>
        <w:rPr>
          <w:rFonts w:hint="default" w:ascii="Times New Roman" w:hAnsi="Times New Roman" w:eastAsia="宋体" w:cs="Times New Roman"/>
          <w:sz w:val="24"/>
          <w:szCs w:val="24"/>
          <w:lang w:val="en-US" w:eastAsia="zh-CN"/>
        </w:rPr>
        <w:t>工序产生的有机废气，主要污染因子为</w:t>
      </w:r>
      <w:r>
        <w:rPr>
          <w:rFonts w:hint="eastAsia" w:ascii="Times New Roman" w:hAnsi="Times New Roman" w:cs="Times New Roman"/>
          <w:sz w:val="24"/>
          <w:szCs w:val="24"/>
          <w:lang w:val="en-US" w:eastAsia="zh-CN"/>
        </w:rPr>
        <w:t>非甲烷总烃、氯乙烯、氯化氢</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highlight w:val="none"/>
          <w:lang w:val="en-US" w:eastAsia="zh-CN"/>
        </w:rPr>
        <w:t>工序上方设置集气罩收集后经等离子净化机+二级活性炭装置处理后通过15m高排气筒排放</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lang w:val="en-US" w:eastAsia="zh-CN"/>
        </w:rPr>
      </w:pPr>
      <w:r>
        <w:rPr>
          <w:rFonts w:hint="eastAsia" w:ascii="Times New Roman" w:hAnsi="Times New Roman" w:eastAsia="黑体" w:cs="Times New Roman"/>
          <w:b/>
          <w:sz w:val="32"/>
          <w:szCs w:val="32"/>
          <w:highlight w:val="red"/>
          <w:vertAlign w:val="baseline"/>
          <w:lang w:val="en-US" w:eastAsia="zh-CN"/>
        </w:rPr>
        <w:drawing>
          <wp:anchor distT="0" distB="0" distL="114300" distR="114300" simplePos="0" relativeHeight="251685888" behindDoc="0" locked="0" layoutInCell="1" allowOverlap="1">
            <wp:simplePos x="0" y="0"/>
            <wp:positionH relativeFrom="column">
              <wp:posOffset>2640330</wp:posOffset>
            </wp:positionH>
            <wp:positionV relativeFrom="paragraph">
              <wp:posOffset>290830</wp:posOffset>
            </wp:positionV>
            <wp:extent cx="2766060" cy="2080895"/>
            <wp:effectExtent l="0" t="0" r="7620" b="6985"/>
            <wp:wrapNone/>
            <wp:docPr id="9" name="图片 9" descr="83df7685ec80fe585dab1b78f382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3df7685ec80fe585dab1b78f38238c"/>
                    <pic:cNvPicPr>
                      <a:picLocks noChangeAspect="1"/>
                    </pic:cNvPicPr>
                  </pic:nvPicPr>
                  <pic:blipFill>
                    <a:blip r:embed="rId15"/>
                    <a:srcRect t="37504" r="53151"/>
                    <a:stretch>
                      <a:fillRect/>
                    </a:stretch>
                  </pic:blipFill>
                  <pic:spPr>
                    <a:xfrm>
                      <a:off x="0" y="0"/>
                      <a:ext cx="2766060" cy="2080895"/>
                    </a:xfrm>
                    <a:prstGeom prst="rect">
                      <a:avLst/>
                    </a:prstGeom>
                  </pic:spPr>
                </pic:pic>
              </a:graphicData>
            </a:graphic>
          </wp:anchor>
        </w:drawing>
      </w:r>
      <w:r>
        <w:rPr>
          <w:rFonts w:hint="default" w:ascii="Times New Roman" w:hAnsi="Times New Roman" w:eastAsia="宋体" w:cs="Times New Roman"/>
          <w:kern w:val="2"/>
          <w:sz w:val="24"/>
          <w:szCs w:val="24"/>
          <w:lang w:val="en-US" w:eastAsia="zh-CN" w:bidi="ar-SA"/>
        </w:rPr>
        <w:t>项目废气治理</w:t>
      </w:r>
      <w:r>
        <w:rPr>
          <w:rFonts w:hint="default" w:ascii="Times New Roman" w:hAnsi="Times New Roman" w:cs="Times New Roman"/>
          <w:kern w:val="2"/>
          <w:sz w:val="24"/>
          <w:szCs w:val="24"/>
          <w:lang w:val="en-US" w:eastAsia="zh-CN" w:bidi="ar-SA"/>
        </w:rPr>
        <w:t>设</w:t>
      </w:r>
      <w:r>
        <w:rPr>
          <w:rFonts w:hint="default" w:ascii="Times New Roman" w:hAnsi="Times New Roman" w:eastAsia="宋体" w:cs="Times New Roman"/>
          <w:kern w:val="2"/>
          <w:sz w:val="24"/>
          <w:szCs w:val="24"/>
          <w:lang w:val="en-US" w:eastAsia="zh-CN" w:bidi="ar-SA"/>
        </w:rPr>
        <w:t>施现场图如下图3-1所示。</w:t>
      </w:r>
      <w:bookmarkStart w:id="130" w:name="_Toc24159"/>
      <w:bookmarkStart w:id="131" w:name="_Toc1970"/>
      <w:bookmarkStart w:id="132" w:name="_Toc9267"/>
      <w:bookmarkStart w:id="133" w:name="_Toc6853"/>
    </w:p>
    <w:tbl>
      <w:tblPr>
        <w:tblStyle w:val="23"/>
        <w:tblpPr w:leftFromText="181" w:rightFromText="181" w:vertAnchor="text" w:horzAnchor="page" w:tblpX="1424" w:tblpY="1"/>
        <w:tblOverlap w:val="never"/>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5"/>
        <w:gridCol w:w="45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35"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黑体" w:cs="Times New Roman"/>
                <w:b/>
                <w:sz w:val="32"/>
                <w:szCs w:val="32"/>
                <w:highlight w:val="red"/>
                <w:vertAlign w:val="baseline"/>
                <w:lang w:val="en-US" w:eastAsia="zh-CN"/>
              </w:rPr>
            </w:pPr>
            <w:r>
              <w:rPr>
                <w:rFonts w:hint="eastAsia" w:ascii="Times New Roman" w:hAnsi="Times New Roman" w:eastAsia="黑体" w:cs="Times New Roman"/>
                <w:b/>
                <w:sz w:val="32"/>
                <w:szCs w:val="32"/>
                <w:highlight w:val="red"/>
                <w:vertAlign w:val="baseline"/>
                <w:lang w:val="en-US" w:eastAsia="zh-CN"/>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740660" cy="2055495"/>
                  <wp:effectExtent l="0" t="0" r="2540" b="1905"/>
                  <wp:wrapNone/>
                  <wp:docPr id="4" name="图片 4" descr="83df7685ec80fe585dab1b78f382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3df7685ec80fe585dab1b78f38238c"/>
                          <pic:cNvPicPr>
                            <a:picLocks noChangeAspect="1"/>
                          </pic:cNvPicPr>
                        </pic:nvPicPr>
                        <pic:blipFill>
                          <a:blip r:embed="rId15"/>
                          <a:stretch>
                            <a:fillRect/>
                          </a:stretch>
                        </pic:blipFill>
                        <pic:spPr>
                          <a:xfrm>
                            <a:off x="0" y="0"/>
                            <a:ext cx="2740660" cy="2055495"/>
                          </a:xfrm>
                          <a:prstGeom prst="rect">
                            <a:avLst/>
                          </a:prstGeom>
                        </pic:spPr>
                      </pic:pic>
                    </a:graphicData>
                  </a:graphic>
                </wp:anchor>
              </w:drawing>
            </w:r>
          </w:p>
        </w:tc>
        <w:tc>
          <w:tcPr>
            <w:tcW w:w="4535" w:type="dxa"/>
            <w:tcBorders>
              <w:tl2br w:val="nil"/>
              <w:tr2bl w:val="nil"/>
            </w:tcBorders>
            <w:vAlign w:val="top"/>
          </w:tcPr>
          <w:p>
            <w:pPr>
              <w:bidi w:val="0"/>
              <w:rPr>
                <w:rFonts w:hint="eastAsia" w:ascii="Times New Roman" w:hAnsi="Times New Roman" w:eastAsia="黑体" w:cs="Times New Roman"/>
                <w:b/>
                <w:sz w:val="32"/>
                <w:szCs w:val="32"/>
                <w:highlight w:val="red"/>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7" w:hRule="atLeast"/>
        </w:trPr>
        <w:tc>
          <w:tcPr>
            <w:tcW w:w="9070" w:type="dxa"/>
            <w:gridSpan w:val="2"/>
            <w:tcBorders>
              <w:tl2br w:val="nil"/>
              <w:tr2bl w:val="nil"/>
            </w:tcBorders>
            <w:vAlign w:val="top"/>
          </w:tcPr>
          <w:p>
            <w:pPr>
              <w:bidi w:val="0"/>
              <w:jc w:val="center"/>
              <w:rPr>
                <w:rFonts w:hint="eastAsia"/>
                <w:sz w:val="21"/>
                <w:highlight w:val="none"/>
                <w:vertAlign w:val="baseline"/>
                <w:lang w:eastAsia="zh-CN"/>
              </w:rPr>
            </w:pPr>
            <w:r>
              <w:rPr>
                <w:rFonts w:hint="eastAsia"/>
                <w:sz w:val="21"/>
                <w:highlight w:val="none"/>
                <w:vertAlign w:val="baseline"/>
                <w:lang w:eastAsia="zh-CN"/>
              </w:rPr>
              <w:drawing>
                <wp:inline distT="0" distB="0" distL="114300" distR="114300">
                  <wp:extent cx="2957830" cy="3943985"/>
                  <wp:effectExtent l="0" t="0" r="13970" b="3175"/>
                  <wp:docPr id="10" name="图片 10" descr="7fbae9983545dd10b9b53b8f2ff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fbae9983545dd10b9b53b8f2ff6309"/>
                          <pic:cNvPicPr>
                            <a:picLocks noChangeAspect="1"/>
                          </pic:cNvPicPr>
                        </pic:nvPicPr>
                        <pic:blipFill>
                          <a:blip r:embed="rId16"/>
                          <a:stretch>
                            <a:fillRect/>
                          </a:stretch>
                        </pic:blipFill>
                        <pic:spPr>
                          <a:xfrm>
                            <a:off x="0" y="0"/>
                            <a:ext cx="2957830" cy="3943985"/>
                          </a:xfrm>
                          <a:prstGeom prst="rect">
                            <a:avLst/>
                          </a:prstGeom>
                        </pic:spPr>
                      </pic:pic>
                    </a:graphicData>
                  </a:graphic>
                </wp:inline>
              </w:drawing>
            </w:r>
          </w:p>
        </w:tc>
      </w:tr>
    </w:tbl>
    <w:p>
      <w:pPr>
        <w:pStyle w:val="3"/>
        <w:ind w:left="0" w:leftChars="0" w:right="0" w:rightChars="0" w:firstLine="0" w:firstLineChars="0"/>
        <w:jc w:val="center"/>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图3-1  废气治理设施现场图</w:t>
      </w:r>
      <w:bookmarkEnd w:id="130"/>
      <w:bookmarkEnd w:id="131"/>
      <w:bookmarkEnd w:id="132"/>
    </w:p>
    <w:p>
      <w:pPr>
        <w:rPr>
          <w:rFonts w:hint="default" w:ascii="Times New Roman" w:hAnsi="Times New Roman" w:eastAsia="宋体" w:cs="Times New Roman"/>
          <w:highlight w:val="none"/>
        </w:rPr>
      </w:pPr>
      <w:bookmarkStart w:id="134" w:name="_Toc6473"/>
      <w:bookmarkStart w:id="135" w:name="_Toc22928"/>
      <w:r>
        <w:rPr>
          <w:rFonts w:hint="default" w:ascii="Times New Roman" w:hAnsi="Times New Roman" w:eastAsia="宋体" w:cs="Times New Roman"/>
          <w:highlight w:val="none"/>
        </w:rPr>
        <w:br w:type="page"/>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2"/>
        <w:rPr>
          <w:rFonts w:hint="default" w:ascii="Times New Roman" w:hAnsi="Times New Roman" w:eastAsia="宋体" w:cs="Times New Roman"/>
          <w:highlight w:val="none"/>
        </w:rPr>
      </w:pPr>
      <w:bookmarkStart w:id="136" w:name="_Toc27309"/>
      <w:r>
        <w:rPr>
          <w:rFonts w:hint="default" w:ascii="Times New Roman" w:hAnsi="Times New Roman" w:eastAsia="宋体" w:cs="Times New Roman"/>
          <w:highlight w:val="none"/>
        </w:rPr>
        <w:t>3.2.</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rPr>
        <w:t xml:space="preserve"> 废水</w:t>
      </w:r>
      <w:bookmarkEnd w:id="133"/>
      <w:bookmarkEnd w:id="134"/>
      <w:bookmarkEnd w:id="135"/>
      <w:bookmarkEnd w:id="136"/>
    </w:p>
    <w:p>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2"/>
        <w:rPr>
          <w:rFonts w:hint="default" w:ascii="Times New Roman" w:hAnsi="Times New Roman" w:eastAsia="宋体" w:cs="Times New Roman"/>
        </w:rPr>
      </w:pPr>
      <w:bookmarkStart w:id="137" w:name="_Toc18436"/>
      <w:bookmarkStart w:id="138" w:name="_Toc571"/>
      <w:bookmarkStart w:id="139" w:name="_Toc26391"/>
      <w:bookmarkStart w:id="140" w:name="_Toc30198"/>
      <w:bookmarkStart w:id="141" w:name="_Toc496979025"/>
      <w:bookmarkStart w:id="142" w:name="_Toc497001462"/>
      <w:r>
        <w:rPr>
          <w:rFonts w:hint="default" w:ascii="Times New Roman" w:hAnsi="Times New Roman" w:eastAsia="宋体" w:cs="Times New Roman"/>
        </w:rPr>
        <w:t>项目无生产废水产生，生产工序冷却水循环使用不外排；项目废水主要为生活废水，全部排入防渗化粪池，由当地农民定期清掏作为农肥使用，不外排。</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2"/>
        <w:rPr>
          <w:rFonts w:hint="default" w:ascii="Times New Roman" w:hAnsi="Times New Roman" w:eastAsia="宋体" w:cs="Times New Roman"/>
        </w:rPr>
      </w:pPr>
      <w:r>
        <w:rPr>
          <w:rFonts w:hint="default" w:ascii="Times New Roman" w:hAnsi="Times New Roman" w:eastAsia="宋体" w:cs="Times New Roman"/>
        </w:rPr>
        <w:t>3.2.</w:t>
      </w:r>
      <w:r>
        <w:rPr>
          <w:rFonts w:hint="default" w:ascii="Times New Roman" w:hAnsi="Times New Roman" w:eastAsia="宋体" w:cs="Times New Roman"/>
          <w:lang w:val="en-US" w:eastAsia="zh-CN"/>
        </w:rPr>
        <w:t>3</w:t>
      </w:r>
      <w:r>
        <w:rPr>
          <w:rFonts w:hint="default" w:ascii="Times New Roman" w:hAnsi="Times New Roman" w:eastAsia="宋体" w:cs="Times New Roman"/>
        </w:rPr>
        <w:t xml:space="preserve"> 噪声</w:t>
      </w:r>
      <w:bookmarkEnd w:id="137"/>
      <w:bookmarkEnd w:id="138"/>
      <w:bookmarkEnd w:id="139"/>
      <w:bookmarkEnd w:id="140"/>
    </w:p>
    <w:p>
      <w:pPr>
        <w:pStyle w:val="7"/>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2"/>
        <w:rPr>
          <w:rFonts w:hint="default" w:ascii="Times New Roman" w:hAnsi="Times New Roman" w:eastAsia="宋体" w:cs="Times New Roman"/>
          <w:highlight w:val="none"/>
          <w:lang w:val="en-US" w:eastAsia="zh-CN"/>
        </w:rPr>
      </w:pPr>
      <w:bookmarkStart w:id="143" w:name="_Toc16750"/>
      <w:bookmarkStart w:id="144" w:name="_Toc19639"/>
      <w:bookmarkStart w:id="145" w:name="_Toc1473"/>
      <w:bookmarkStart w:id="146" w:name="_Toc5318"/>
      <w:r>
        <w:rPr>
          <w:rFonts w:hint="default" w:ascii="Times New Roman" w:hAnsi="Times New Roman" w:eastAsia="宋体" w:cs="Times New Roman"/>
          <w:highlight w:val="none"/>
          <w:lang w:val="en-US" w:eastAsia="zh-CN"/>
        </w:rPr>
        <w:t>项目噪声源主要为生产过程中</w:t>
      </w:r>
      <w:r>
        <w:rPr>
          <w:rFonts w:hint="eastAsia" w:ascii="Times New Roman" w:hAnsi="Times New Roman" w:cs="Times New Roman"/>
          <w:highlight w:val="none"/>
          <w:lang w:val="en-US" w:eastAsia="zh-CN"/>
        </w:rPr>
        <w:t>切割机</w:t>
      </w:r>
      <w:r>
        <w:rPr>
          <w:rFonts w:hint="default" w:ascii="Times New Roman" w:hAnsi="Times New Roman" w:eastAsia="宋体" w:cs="Times New Roman"/>
          <w:highlight w:val="none"/>
          <w:lang w:val="en-US" w:eastAsia="zh-CN"/>
        </w:rPr>
        <w:t>等设备运行产生的噪声。产噪设备选用低噪声设备，设备加减振装置，厂房隔声等措施，再经过距离衰减后进入周边环境。</w:t>
      </w:r>
    </w:p>
    <w:p>
      <w:pPr>
        <w:pStyle w:val="7"/>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2"/>
        <w:rPr>
          <w:rFonts w:hint="default" w:ascii="宋体" w:hAnsi="宋体" w:eastAsia="宋体" w:cs="宋体"/>
          <w:color w:val="000000"/>
          <w:kern w:val="0"/>
          <w:sz w:val="24"/>
          <w:szCs w:val="24"/>
          <w:lang w:val="en-US" w:eastAsia="zh-CN" w:bidi="ar"/>
        </w:rPr>
      </w:pPr>
      <w:r>
        <w:rPr>
          <w:rFonts w:hint="default" w:ascii="Times New Roman" w:hAnsi="Times New Roman" w:eastAsia="宋体" w:cs="Times New Roman"/>
          <w:highlight w:val="none"/>
        </w:rPr>
        <w:t>3.2.</w:t>
      </w:r>
      <w:r>
        <w:rPr>
          <w:rFonts w:hint="default" w:ascii="Times New Roman" w:hAnsi="Times New Roman" w:eastAsia="宋体" w:cs="Times New Roman"/>
          <w:highlight w:val="none"/>
          <w:lang w:val="en-US" w:eastAsia="zh-CN"/>
        </w:rPr>
        <w:t xml:space="preserve">4 </w:t>
      </w:r>
      <w:r>
        <w:rPr>
          <w:rFonts w:hint="default" w:ascii="宋体" w:hAnsi="宋体" w:eastAsia="宋体" w:cs="宋体"/>
          <w:color w:val="000000"/>
          <w:kern w:val="0"/>
          <w:sz w:val="24"/>
          <w:szCs w:val="24"/>
          <w:lang w:val="en-US" w:eastAsia="zh-CN" w:bidi="ar"/>
        </w:rPr>
        <w:t>固体废物</w:t>
      </w:r>
      <w:bookmarkEnd w:id="143"/>
      <w:bookmarkEnd w:id="144"/>
      <w:bookmarkEnd w:id="145"/>
      <w:bookmarkEnd w:id="14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bookmarkStart w:id="147" w:name="_Toc9823"/>
      <w:bookmarkStart w:id="148" w:name="_Toc4008"/>
      <w:r>
        <w:rPr>
          <w:rFonts w:hint="default" w:ascii="Times New Roman" w:hAnsi="Times New Roman" w:cs="Times New Roman"/>
          <w:sz w:val="24"/>
          <w:szCs w:val="24"/>
          <w:highlight w:val="none"/>
          <w:lang w:val="en-US" w:eastAsia="zh-CN"/>
        </w:rPr>
        <w:t>项目</w:t>
      </w:r>
      <w:r>
        <w:rPr>
          <w:rFonts w:hint="eastAsia" w:ascii="Times New Roman" w:hAnsi="Times New Roman" w:cs="Times New Roman"/>
          <w:sz w:val="24"/>
          <w:szCs w:val="24"/>
          <w:highlight w:val="none"/>
          <w:lang w:val="en-US" w:eastAsia="zh-CN"/>
        </w:rPr>
        <w:t>固废主要为切割工序产生的下脚料，收集后回用于生产；活性炭吸附装置产生废活性炭，收集后存放于厂内危废暂存间，定期交由有资质单位集中处置；生活垃圾收集后交由环卫部门统一处理。</w:t>
      </w:r>
    </w:p>
    <w:bookmarkEnd w:id="141"/>
    <w:bookmarkEnd w:id="142"/>
    <w:bookmarkEnd w:id="147"/>
    <w:bookmarkEnd w:id="148"/>
    <w:tbl>
      <w:tblPr>
        <w:tblStyle w:val="23"/>
        <w:tblW w:w="9071"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5"/>
        <w:gridCol w:w="3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4" w:type="dxa"/>
            <w:tcBorders>
              <w:top w:val="nil"/>
              <w:left w:val="nil"/>
              <w:bottom w:val="nil"/>
              <w:right w:val="nil"/>
            </w:tcBorders>
            <w:vAlign w:val="center"/>
          </w:tcPr>
          <w:p>
            <w:pPr>
              <w:bidi w:val="0"/>
              <w:rPr>
                <w:rFonts w:hint="eastAsia"/>
                <w:lang w:eastAsia="zh-CN"/>
              </w:rPr>
            </w:pPr>
            <w:bookmarkStart w:id="149" w:name="_Toc25824"/>
            <w:bookmarkStart w:id="150" w:name="_Toc19788"/>
            <w:bookmarkStart w:id="151" w:name="_Toc14411"/>
            <w:r>
              <w:rPr>
                <w:rFonts w:hint="eastAsia"/>
                <w:lang w:eastAsia="zh-CN"/>
              </w:rPr>
              <w:drawing>
                <wp:anchor distT="0" distB="0" distL="114300" distR="114300" simplePos="0" relativeHeight="251687936" behindDoc="0" locked="0" layoutInCell="1" allowOverlap="1">
                  <wp:simplePos x="0" y="0"/>
                  <wp:positionH relativeFrom="column">
                    <wp:posOffset>2794000</wp:posOffset>
                  </wp:positionH>
                  <wp:positionV relativeFrom="paragraph">
                    <wp:posOffset>70485</wp:posOffset>
                  </wp:positionV>
                  <wp:extent cx="2510790" cy="3337560"/>
                  <wp:effectExtent l="0" t="0" r="3810" b="0"/>
                  <wp:wrapNone/>
                  <wp:docPr id="12" name="图片 12" descr="125b97d72ecdf44277035b579b75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5b97d72ecdf44277035b579b75ab5"/>
                          <pic:cNvPicPr>
                            <a:picLocks noChangeAspect="1"/>
                          </pic:cNvPicPr>
                        </pic:nvPicPr>
                        <pic:blipFill>
                          <a:blip r:embed="rId17"/>
                          <a:stretch>
                            <a:fillRect/>
                          </a:stretch>
                        </pic:blipFill>
                        <pic:spPr>
                          <a:xfrm>
                            <a:off x="0" y="0"/>
                            <a:ext cx="2510790" cy="3337560"/>
                          </a:xfrm>
                          <a:prstGeom prst="rect">
                            <a:avLst/>
                          </a:prstGeom>
                        </pic:spPr>
                      </pic:pic>
                    </a:graphicData>
                  </a:graphic>
                </wp:anchor>
              </w:drawing>
            </w:r>
            <w:r>
              <w:rPr>
                <w:rFonts w:hint="eastAsia"/>
                <w:lang w:eastAsia="zh-CN"/>
              </w:rPr>
              <w:drawing>
                <wp:anchor distT="0" distB="0" distL="114300" distR="114300" simplePos="0" relativeHeight="251686912" behindDoc="0" locked="0" layoutInCell="1" allowOverlap="1">
                  <wp:simplePos x="0" y="0"/>
                  <wp:positionH relativeFrom="column">
                    <wp:posOffset>76200</wp:posOffset>
                  </wp:positionH>
                  <wp:positionV relativeFrom="paragraph">
                    <wp:posOffset>74295</wp:posOffset>
                  </wp:positionV>
                  <wp:extent cx="2498725" cy="3333115"/>
                  <wp:effectExtent l="0" t="0" r="635" b="4445"/>
                  <wp:wrapNone/>
                  <wp:docPr id="11" name="图片 11" descr="c31142184bb5b63b9ba1a7c1493a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31142184bb5b63b9ba1a7c1493ae8c"/>
                          <pic:cNvPicPr>
                            <a:picLocks noChangeAspect="1"/>
                          </pic:cNvPicPr>
                        </pic:nvPicPr>
                        <pic:blipFill>
                          <a:blip r:embed="rId18"/>
                          <a:stretch>
                            <a:fillRect/>
                          </a:stretch>
                        </pic:blipFill>
                        <pic:spPr>
                          <a:xfrm>
                            <a:off x="0" y="0"/>
                            <a:ext cx="2498725" cy="3333115"/>
                          </a:xfrm>
                          <a:prstGeom prst="rect">
                            <a:avLst/>
                          </a:prstGeom>
                        </pic:spPr>
                      </pic:pic>
                    </a:graphicData>
                  </a:graphic>
                </wp:anchor>
              </w:drawing>
            </w:r>
          </w:p>
          <w:p>
            <w:pPr>
              <w:pStyle w:val="2"/>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tc>
        <w:tc>
          <w:tcPr>
            <w:tcW w:w="3024" w:type="dxa"/>
            <w:tcBorders>
              <w:top w:val="nil"/>
              <w:left w:val="nil"/>
              <w:bottom w:val="nil"/>
              <w:right w:val="nil"/>
            </w:tcBorders>
            <w:vAlign w:val="center"/>
          </w:tcPr>
          <w:p>
            <w:pPr>
              <w:bidi w:val="0"/>
              <w:rPr>
                <w:rFonts w:hint="eastAsia"/>
                <w:lang w:eastAsia="zh-CN"/>
              </w:rPr>
            </w:pPr>
          </w:p>
        </w:tc>
      </w:tr>
    </w:tbl>
    <w:p>
      <w:pPr>
        <w:jc w:val="center"/>
        <w:rPr>
          <w:rFonts w:hint="default"/>
        </w:rPr>
      </w:pPr>
      <w:r>
        <w:rPr>
          <w:rFonts w:hint="default" w:ascii="Times New Roman" w:hAnsi="Times New Roman" w:eastAsia="宋体" w:cs="Times New Roman"/>
          <w:b w:val="0"/>
          <w:bCs/>
          <w:sz w:val="24"/>
          <w:szCs w:val="24"/>
          <w:lang w:val="en-US" w:eastAsia="zh-CN"/>
        </w:rPr>
        <w:t>图3-</w:t>
      </w:r>
      <w:r>
        <w:rPr>
          <w:rFonts w:hint="eastAsia" w:ascii="Times New Roman" w:hAnsi="Times New Roman" w:cs="Times New Roman"/>
          <w:b w:val="0"/>
          <w:bCs/>
          <w:sz w:val="24"/>
          <w:szCs w:val="24"/>
          <w:lang w:val="en-US" w:eastAsia="zh-CN"/>
        </w:rPr>
        <w:t>2</w:t>
      </w:r>
      <w:r>
        <w:rPr>
          <w:rFonts w:hint="default" w:ascii="Times New Roman" w:hAnsi="Times New Roman" w:eastAsia="宋体" w:cs="Times New Roman"/>
          <w:b w:val="0"/>
          <w:bCs/>
          <w:sz w:val="24"/>
          <w:szCs w:val="24"/>
          <w:lang w:val="en-US" w:eastAsia="zh-CN"/>
        </w:rPr>
        <w:t xml:space="preserve"> </w:t>
      </w:r>
      <w:r>
        <w:rPr>
          <w:rFonts w:hint="eastAsia" w:ascii="Times New Roman" w:hAnsi="Times New Roman" w:cs="Times New Roman"/>
          <w:b w:val="0"/>
          <w:bCs/>
          <w:sz w:val="24"/>
          <w:szCs w:val="24"/>
          <w:lang w:val="en-US" w:eastAsia="zh-CN"/>
        </w:rPr>
        <w:t>危废间</w:t>
      </w:r>
    </w:p>
    <w:p>
      <w:pPr>
        <w:rPr>
          <w:rFonts w:hint="default" w:ascii="Times New Roman" w:hAnsi="Times New Roman" w:eastAsia="宋体" w:cs="Times New Roman"/>
        </w:rPr>
      </w:pPr>
      <w:r>
        <w:rPr>
          <w:rFonts w:hint="default" w:ascii="Times New Roman" w:hAnsi="Times New Roman" w:eastAsia="宋体" w:cs="Times New Roman"/>
        </w:rPr>
        <w:br w:type="page"/>
      </w:r>
    </w:p>
    <w:p>
      <w:pPr>
        <w:pStyle w:val="5"/>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0"/>
        <w:rPr>
          <w:rFonts w:hint="default" w:ascii="Times New Roman" w:hAnsi="Times New Roman" w:eastAsia="宋体" w:cs="Times New Roman"/>
        </w:rPr>
      </w:pPr>
      <w:bookmarkStart w:id="152" w:name="_Toc25753"/>
      <w:r>
        <w:rPr>
          <w:rFonts w:hint="default" w:ascii="Times New Roman" w:hAnsi="Times New Roman" w:eastAsia="宋体" w:cs="Times New Roman"/>
        </w:rPr>
        <w:t>4 环评主要结论及环评批复要求</w:t>
      </w:r>
      <w:bookmarkEnd w:id="149"/>
      <w:bookmarkEnd w:id="150"/>
      <w:bookmarkEnd w:id="151"/>
      <w:bookmarkEnd w:id="152"/>
    </w:p>
    <w:p>
      <w:pPr>
        <w:pStyle w:val="6"/>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default" w:ascii="Times New Roman" w:hAnsi="Times New Roman" w:eastAsia="宋体" w:cs="Times New Roman"/>
          <w:sz w:val="24"/>
          <w:szCs w:val="24"/>
        </w:rPr>
      </w:pPr>
      <w:bookmarkStart w:id="153" w:name="_Toc17594"/>
      <w:bookmarkStart w:id="154" w:name="_Toc8059"/>
      <w:bookmarkStart w:id="155" w:name="_Toc19580"/>
      <w:bookmarkStart w:id="156" w:name="_Toc21108"/>
      <w:r>
        <w:rPr>
          <w:rFonts w:hint="default" w:ascii="Times New Roman" w:hAnsi="Times New Roman" w:eastAsia="宋体" w:cs="Times New Roman"/>
          <w:sz w:val="24"/>
          <w:szCs w:val="24"/>
        </w:rPr>
        <w:t>4.1 建设项目环评报告表的主要结论</w:t>
      </w:r>
      <w:bookmarkEnd w:id="153"/>
      <w:bookmarkEnd w:id="154"/>
      <w:bookmarkEnd w:id="155"/>
      <w:bookmarkEnd w:id="156"/>
    </w:p>
    <w:p>
      <w:pPr>
        <w:adjustRightInd w:val="0"/>
        <w:snapToGrid w:val="0"/>
        <w:spacing w:line="360" w:lineRule="auto"/>
        <w:ind w:firstLine="480" w:firstLineChars="200"/>
        <w:rPr>
          <w:rFonts w:hint="default" w:ascii="Times New Roman" w:hAnsi="Times New Roman" w:cs="Times New Roman"/>
          <w:sz w:val="24"/>
          <w:szCs w:val="24"/>
          <w:lang w:eastAsia="zh-CN"/>
        </w:rPr>
      </w:pPr>
      <w:r>
        <w:rPr>
          <w:snapToGrid w:val="0"/>
          <w:color w:val="000000"/>
          <w:sz w:val="24"/>
        </w:rPr>
        <w:t>项目符合“三线一单”管控要求，通过环境环境影响和保护措施分析，污染物治理措施有效，外排污染物均可达标排放，符合总量控制要求，对周围环境的影响较小。从生态环境保护角度分析，项目建设可行。</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highlight w:val="none"/>
        </w:rPr>
      </w:pPr>
      <w:bookmarkStart w:id="157" w:name="_Toc4678"/>
      <w:bookmarkStart w:id="158" w:name="_Toc13890"/>
      <w:bookmarkStart w:id="159" w:name="_Toc27551"/>
      <w:bookmarkStart w:id="160" w:name="_Toc3545"/>
      <w:r>
        <w:rPr>
          <w:rFonts w:hint="default" w:ascii="Times New Roman" w:hAnsi="Times New Roman" w:eastAsia="宋体" w:cs="Times New Roman"/>
        </w:rPr>
        <w:t>4.2 审批部门审</w:t>
      </w:r>
      <w:r>
        <w:rPr>
          <w:rFonts w:hint="default" w:ascii="Times New Roman" w:hAnsi="Times New Roman" w:eastAsia="宋体" w:cs="Times New Roman"/>
          <w:highlight w:val="none"/>
        </w:rPr>
        <w:t>批意见</w:t>
      </w:r>
      <w:bookmarkEnd w:id="157"/>
      <w:bookmarkEnd w:id="158"/>
      <w:bookmarkEnd w:id="159"/>
      <w:bookmarkEnd w:id="16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highlight w:val="none"/>
          <w:lang w:val="en-US" w:eastAsia="zh-CN"/>
        </w:rPr>
        <w:t>2021年06月</w:t>
      </w:r>
      <w:r>
        <w:rPr>
          <w:rFonts w:hint="default" w:ascii="Times New Roman" w:hAnsi="Times New Roman" w:cs="Times New Roman"/>
          <w:sz w:val="24"/>
          <w:szCs w:val="24"/>
          <w:highlight w:val="none"/>
          <w:lang w:val="en-US" w:eastAsia="zh-CN"/>
        </w:rPr>
        <w:t>，企业委托</w:t>
      </w:r>
      <w:r>
        <w:rPr>
          <w:rFonts w:hint="eastAsia" w:ascii="Times New Roman" w:hAnsi="Times New Roman" w:cs="Times New Roman"/>
          <w:sz w:val="24"/>
          <w:lang w:eastAsia="zh-CN"/>
        </w:rPr>
        <w:t>河北仁水环境科技有限公司</w:t>
      </w:r>
      <w:r>
        <w:rPr>
          <w:rFonts w:hint="default" w:ascii="Times New Roman" w:hAnsi="Times New Roman" w:cs="Times New Roman"/>
          <w:sz w:val="24"/>
          <w:szCs w:val="24"/>
          <w:highlight w:val="none"/>
          <w:lang w:val="en-US" w:eastAsia="zh-CN"/>
        </w:rPr>
        <w:t>编制完成了《</w:t>
      </w:r>
      <w:r>
        <w:rPr>
          <w:rFonts w:hint="eastAsia" w:ascii="Times New Roman" w:hAnsi="Times New Roman" w:cs="Times New Roman"/>
          <w:sz w:val="24"/>
          <w:lang w:eastAsia="zh-CN"/>
        </w:rPr>
        <w:t>新麦菲地毯（沧州）有限公司新建</w:t>
      </w:r>
      <w:r>
        <w:rPr>
          <w:rFonts w:hint="eastAsia" w:ascii="Times New Roman" w:hAnsi="Times New Roman" w:cs="Times New Roman"/>
          <w:sz w:val="24"/>
          <w:szCs w:val="24"/>
          <w:lang w:val="en-US" w:eastAsia="zh-CN"/>
        </w:rPr>
        <w:t>年产300万平方米地毯项目</w:t>
      </w:r>
      <w:r>
        <w:rPr>
          <w:rFonts w:hint="default" w:ascii="Times New Roman" w:hAnsi="Times New Roman" w:eastAsia="宋体" w:cs="Times New Roman"/>
          <w:sz w:val="24"/>
          <w:szCs w:val="24"/>
          <w:lang w:val="en-US" w:eastAsia="zh-CN"/>
        </w:rPr>
        <w:t>环境影响报告表</w:t>
      </w:r>
      <w:r>
        <w:rPr>
          <w:rFonts w:hint="default" w:ascii="Times New Roman" w:hAnsi="Times New Roman" w:cs="Times New Roman"/>
          <w:sz w:val="24"/>
          <w:szCs w:val="24"/>
          <w:highlight w:val="none"/>
          <w:lang w:val="en-US" w:eastAsia="zh-CN"/>
        </w:rPr>
        <w:t>》，并于</w:t>
      </w:r>
      <w:r>
        <w:rPr>
          <w:rFonts w:hint="eastAsia" w:ascii="Times New Roman" w:hAnsi="Times New Roman" w:cs="Times New Roman"/>
          <w:sz w:val="24"/>
          <w:szCs w:val="24"/>
          <w:highlight w:val="none"/>
          <w:lang w:val="en-US" w:eastAsia="zh-CN"/>
        </w:rPr>
        <w:t>2021年06月30日</w:t>
      </w:r>
      <w:r>
        <w:rPr>
          <w:rFonts w:hint="default" w:ascii="Times New Roman" w:hAnsi="Times New Roman" w:cs="Times New Roman"/>
          <w:sz w:val="24"/>
          <w:szCs w:val="24"/>
          <w:highlight w:val="none"/>
          <w:lang w:val="en-US" w:eastAsia="zh-CN"/>
        </w:rPr>
        <w:t>取得了</w:t>
      </w:r>
      <w:r>
        <w:rPr>
          <w:rFonts w:hint="eastAsia" w:ascii="Times New Roman" w:hAnsi="Times New Roman" w:cs="Times New Roman"/>
          <w:sz w:val="24"/>
          <w:szCs w:val="24"/>
          <w:highlight w:val="none"/>
          <w:lang w:val="en-US" w:eastAsia="zh-CN"/>
        </w:rPr>
        <w:t>沧县行政审批局</w:t>
      </w:r>
      <w:r>
        <w:rPr>
          <w:rFonts w:hint="default" w:ascii="Times New Roman" w:hAnsi="Times New Roman" w:cs="Times New Roman"/>
          <w:sz w:val="24"/>
          <w:szCs w:val="24"/>
          <w:highlight w:val="none"/>
          <w:lang w:val="en-US" w:eastAsia="zh-CN"/>
        </w:rPr>
        <w:t>的审批，批复文号为</w:t>
      </w:r>
      <w:r>
        <w:rPr>
          <w:rFonts w:hint="default" w:ascii="Times New Roman" w:hAnsi="Times New Roman" w:cs="Times New Roman"/>
          <w:color w:val="auto"/>
          <w:sz w:val="24"/>
          <w:szCs w:val="24"/>
          <w:highlight w:val="none"/>
          <w:lang w:val="en-US" w:eastAsia="zh-CN"/>
        </w:rPr>
        <w:t>沧县行</w:t>
      </w:r>
      <w:r>
        <w:rPr>
          <w:rFonts w:hint="eastAsia" w:ascii="Times New Roman" w:hAnsi="Times New Roman" w:cs="Times New Roman"/>
          <w:color w:val="auto"/>
          <w:sz w:val="24"/>
          <w:szCs w:val="24"/>
          <w:highlight w:val="none"/>
          <w:lang w:val="en-US" w:eastAsia="zh-CN"/>
        </w:rPr>
        <w:t>审（</w:t>
      </w:r>
      <w:r>
        <w:rPr>
          <w:rFonts w:hint="default" w:ascii="Times New Roman" w:hAnsi="Times New Roman" w:cs="Times New Roman"/>
          <w:color w:val="auto"/>
          <w:sz w:val="24"/>
          <w:szCs w:val="24"/>
          <w:highlight w:val="none"/>
          <w:lang w:val="en-US" w:eastAsia="zh-CN"/>
        </w:rPr>
        <w:t>环</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字〔2021〕151号</w:t>
      </w:r>
      <w:r>
        <w:rPr>
          <w:rFonts w:hint="default" w:ascii="Times New Roman" w:hAnsi="Times New Roman" w:eastAsia="宋体" w:cs="Times New Roman"/>
          <w:color w:val="auto"/>
          <w:sz w:val="24"/>
          <w:lang w:val="en-US" w:eastAsia="zh-CN"/>
        </w:rPr>
        <w:t>。详见附件1</w:t>
      </w:r>
      <w:r>
        <w:rPr>
          <w:rFonts w:hint="default" w:ascii="Times New Roman" w:hAnsi="Times New Roman" w:cs="Times New Roman"/>
          <w:color w:val="auto"/>
          <w:sz w:val="24"/>
          <w:lang w:val="en-US" w:eastAsia="zh-CN"/>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rPr>
      </w:pPr>
      <w:bookmarkStart w:id="161" w:name="_Toc21436"/>
      <w:bookmarkStart w:id="162" w:name="_Toc29925"/>
      <w:bookmarkStart w:id="163" w:name="_Toc21874"/>
      <w:bookmarkStart w:id="164" w:name="_Toc2514"/>
      <w:r>
        <w:rPr>
          <w:rFonts w:hint="default" w:ascii="Times New Roman" w:hAnsi="Times New Roman" w:eastAsia="宋体" w:cs="Times New Roman"/>
        </w:rPr>
        <w:t>4.3 审批意见落实情况</w:t>
      </w:r>
      <w:bookmarkEnd w:id="161"/>
      <w:bookmarkEnd w:id="162"/>
      <w:bookmarkEnd w:id="163"/>
      <w:bookmarkEnd w:id="164"/>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sz w:val="24"/>
          <w:szCs w:val="24"/>
        </w:rPr>
      </w:pPr>
      <w:bookmarkStart w:id="165" w:name="_Toc497001471"/>
      <w:r>
        <w:rPr>
          <w:rFonts w:hint="default" w:ascii="Times New Roman" w:hAnsi="Times New Roman" w:eastAsia="宋体" w:cs="Times New Roman"/>
          <w:sz w:val="24"/>
          <w:szCs w:val="24"/>
        </w:rPr>
        <w:t>审批意见落实情况详见下表4-1。</w:t>
      </w:r>
      <w:bookmarkEnd w:id="165"/>
    </w:p>
    <w:p>
      <w:pPr>
        <w:keepNext w:val="0"/>
        <w:keepLines w:val="0"/>
        <w:pageBreakBefore w:val="0"/>
        <w:widowControl/>
        <w:kinsoku/>
        <w:wordWrap/>
        <w:overflowPunct/>
        <w:topLinePunct w:val="0"/>
        <w:autoSpaceDE/>
        <w:autoSpaceDN/>
        <w:bidi w:val="0"/>
        <w:adjustRightInd w:val="0"/>
        <w:snapToGrid/>
        <w:spacing w:line="336" w:lineRule="auto"/>
        <w:ind w:left="0" w:leftChars="0" w:right="0" w:rightChars="0" w:firstLine="140" w:firstLineChars="58"/>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22"/>
        <w:tblW w:w="10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03"/>
        <w:gridCol w:w="7065"/>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3" w:type="dxa"/>
            <w:tcBorders>
              <w:tl2br w:val="nil"/>
              <w:tr2bl w:val="nil"/>
            </w:tcBorders>
            <w:tcMar>
              <w:top w:w="0" w:type="dxa"/>
              <w:left w:w="0" w:type="dxa"/>
              <w:bottom w:w="0" w:type="dxa"/>
              <w:right w:w="0" w:type="dxa"/>
            </w:tcMar>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rPr>
            </w:pPr>
            <w:bookmarkStart w:id="166" w:name="_Toc26778"/>
            <w:r>
              <w:rPr>
                <w:rFonts w:hint="default" w:ascii="Times New Roman" w:hAnsi="Times New Roman" w:eastAsia="宋体" w:cs="Times New Roman"/>
                <w:color w:val="auto"/>
                <w:sz w:val="21"/>
                <w:szCs w:val="21"/>
              </w:rPr>
              <w:br w:type="page"/>
            </w:r>
            <w:bookmarkStart w:id="167" w:name="_Toc30025"/>
            <w:r>
              <w:rPr>
                <w:rFonts w:hint="default" w:ascii="Times New Roman" w:hAnsi="Times New Roman" w:eastAsia="宋体" w:cs="Times New Roman"/>
                <w:b/>
                <w:bCs w:val="0"/>
                <w:color w:val="auto"/>
                <w:spacing w:val="-10"/>
                <w:sz w:val="21"/>
                <w:szCs w:val="21"/>
              </w:rPr>
              <w:t>序号</w:t>
            </w:r>
            <w:bookmarkEnd w:id="167"/>
          </w:p>
        </w:tc>
        <w:tc>
          <w:tcPr>
            <w:tcW w:w="706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rPr>
            </w:pPr>
            <w:r>
              <w:rPr>
                <w:rFonts w:hint="default" w:ascii="Times New Roman" w:hAnsi="Times New Roman" w:eastAsia="宋体" w:cs="Times New Roman"/>
                <w:b/>
                <w:bCs w:val="0"/>
                <w:color w:val="auto"/>
                <w:spacing w:val="-10"/>
                <w:sz w:val="21"/>
                <w:szCs w:val="21"/>
              </w:rPr>
              <w:t>审批意见内容</w:t>
            </w:r>
          </w:p>
        </w:tc>
        <w:tc>
          <w:tcPr>
            <w:tcW w:w="244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rPr>
            </w:pPr>
            <w:r>
              <w:rPr>
                <w:rFonts w:hint="default" w:ascii="Times New Roman" w:hAnsi="Times New Roman" w:eastAsia="宋体" w:cs="Times New Roman"/>
                <w:b/>
                <w:bCs w:val="0"/>
                <w:color w:val="auto"/>
                <w:spacing w:val="-10"/>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1</w:t>
            </w:r>
          </w:p>
        </w:tc>
        <w:tc>
          <w:tcPr>
            <w:tcW w:w="706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w:t>
            </w:r>
            <w:r>
              <w:rPr>
                <w:rFonts w:hint="eastAsia" w:ascii="Times New Roman" w:hAnsi="Times New Roman" w:cs="Times New Roman"/>
                <w:color w:val="auto"/>
                <w:sz w:val="21"/>
                <w:szCs w:val="21"/>
                <w:lang w:eastAsia="zh-CN"/>
              </w:rPr>
              <w:t>新麦菲地毯（沧州）有限公司</w:t>
            </w:r>
          </w:p>
        </w:tc>
        <w:tc>
          <w:tcPr>
            <w:tcW w:w="244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2</w:t>
            </w:r>
          </w:p>
        </w:tc>
        <w:tc>
          <w:tcPr>
            <w:tcW w:w="706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建设地点：河北省沧州市沧县高川乡高屯村</w:t>
            </w:r>
            <w:r>
              <w:rPr>
                <w:rFonts w:hint="default" w:ascii="Times New Roman" w:hAnsi="Times New Roman" w:eastAsia="宋体" w:cs="Times New Roman"/>
                <w:spacing w:val="0"/>
                <w:kern w:val="0"/>
                <w:sz w:val="21"/>
                <w:szCs w:val="21"/>
                <w:lang w:val="en-US" w:eastAsia="zh-CN"/>
              </w:rPr>
              <w:t>（厂址中心</w:t>
            </w:r>
            <w:r>
              <w:rPr>
                <w:rFonts w:hint="default" w:ascii="Times New Roman" w:hAnsi="Times New Roman" w:eastAsia="宋体" w:cs="Times New Roman"/>
                <w:sz w:val="21"/>
                <w:szCs w:val="21"/>
              </w:rPr>
              <w:t>地理坐标为</w:t>
            </w:r>
            <w:r>
              <w:rPr>
                <w:rFonts w:hint="default" w:ascii="Times New Roman" w:hAnsi="Times New Roman" w:eastAsia="宋体" w:cs="Times New Roman"/>
                <w:sz w:val="21"/>
                <w:szCs w:val="21"/>
                <w:lang w:val="en-US" w:eastAsia="zh-CN"/>
              </w:rPr>
              <w:t>东经11</w:t>
            </w:r>
            <w:r>
              <w:rPr>
                <w:rFonts w:hint="eastAsia" w:ascii="Times New Roman" w:hAnsi="Times New Roman" w:cs="Times New Roman"/>
                <w:sz w:val="21"/>
                <w:szCs w:val="21"/>
                <w:lang w:val="en-US" w:eastAsia="zh-CN"/>
              </w:rPr>
              <w:t>6</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365374</w:t>
            </w:r>
            <w:r>
              <w:rPr>
                <w:rFonts w:hint="default" w:ascii="Times New Roman" w:hAnsi="Times New Roman" w:eastAsia="宋体" w:cs="Times New Roman"/>
                <w:sz w:val="21"/>
                <w:szCs w:val="21"/>
                <w:lang w:val="en-US" w:eastAsia="zh-CN"/>
              </w:rPr>
              <w:t>°，北纬3</w:t>
            </w:r>
            <w:r>
              <w:rPr>
                <w:rFonts w:hint="eastAsia" w:ascii="Times New Roman" w:hAnsi="Times New Roman" w:cs="Times New Roman"/>
                <w:sz w:val="21"/>
                <w:szCs w:val="21"/>
                <w:lang w:val="en-US" w:eastAsia="zh-CN"/>
              </w:rPr>
              <w:t>8.163433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pacing w:val="0"/>
                <w:kern w:val="0"/>
                <w:sz w:val="21"/>
                <w:szCs w:val="21"/>
                <w:lang w:val="en-US" w:eastAsia="zh-CN"/>
              </w:rPr>
              <w:t>）</w:t>
            </w:r>
          </w:p>
        </w:tc>
        <w:tc>
          <w:tcPr>
            <w:tcW w:w="244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建设地点未变动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3</w:t>
            </w:r>
          </w:p>
        </w:tc>
        <w:tc>
          <w:tcPr>
            <w:tcW w:w="706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废气：</w:t>
            </w:r>
            <w:r>
              <w:rPr>
                <w:rFonts w:hint="eastAsia" w:ascii="Times New Roman" w:hAnsi="Times New Roman" w:cs="Times New Roman"/>
                <w:color w:val="auto"/>
                <w:sz w:val="21"/>
                <w:szCs w:val="21"/>
                <w:lang w:eastAsia="zh-CN"/>
              </w:rPr>
              <w:t>塑化工序废气经“二级活性炭装置”处理后由15米高排气筒排放，非甲烷总烃执行</w:t>
            </w:r>
            <w:r>
              <w:rPr>
                <w:rFonts w:hint="eastAsia" w:ascii="Times New Roman" w:hAnsi="Times New Roman" w:cs="Times New Roman"/>
                <w:sz w:val="21"/>
                <w:szCs w:val="21"/>
                <w:lang w:val="en-US" w:eastAsia="zh-CN"/>
              </w:rPr>
              <w:t>执行</w:t>
            </w:r>
            <w:r>
              <w:rPr>
                <w:rFonts w:hint="default" w:ascii="Times New Roman" w:hAnsi="Times New Roman" w:cs="Times New Roman"/>
                <w:sz w:val="21"/>
                <w:szCs w:val="21"/>
                <w:lang w:val="en-US" w:eastAsia="zh-CN"/>
              </w:rPr>
              <w:t>《烧碱、聚氯乙烯工业污染物排放标准》（GB15581-2016）表4中大气污染物特别排放浓度限值及《工业企业挥发性有机物排放控制标准》（DB13/2322-2016）表1中有机化工业去除率</w:t>
            </w:r>
            <w:r>
              <w:rPr>
                <w:rFonts w:hint="eastAsia" w:ascii="Times New Roman" w:hAnsi="Times New Roman" w:cs="Times New Roman"/>
                <w:sz w:val="21"/>
                <w:szCs w:val="21"/>
                <w:lang w:val="en-US" w:eastAsia="zh-CN"/>
              </w:rPr>
              <w:t>标准</w:t>
            </w:r>
            <w:r>
              <w:rPr>
                <w:rFonts w:hint="eastAsia" w:ascii="Times New Roman" w:hAnsi="Times New Roman" w:cs="Times New Roman"/>
                <w:color w:val="auto"/>
                <w:sz w:val="21"/>
                <w:szCs w:val="21"/>
                <w:lang w:eastAsia="zh-CN"/>
              </w:rPr>
              <w:t>，</w:t>
            </w:r>
            <w:r>
              <w:rPr>
                <w:rFonts w:hint="eastAsia" w:ascii="Times New Roman" w:hAnsi="Times New Roman" w:cs="Times New Roman"/>
                <w:sz w:val="21"/>
                <w:szCs w:val="21"/>
                <w:lang w:val="en-US" w:eastAsia="zh-CN"/>
              </w:rPr>
              <w:t>氯乙烯、氯化氢执行《烧碱、聚氯乙烯工业污染物排放标准》（GB15581-2016）中表4大气污染物特别排放浓度限值，</w:t>
            </w:r>
            <w:r>
              <w:rPr>
                <w:rFonts w:hint="eastAsia" w:ascii="Times New Roman" w:hAnsi="Times New Roman" w:cs="Times New Roman"/>
                <w:color w:val="auto"/>
                <w:sz w:val="21"/>
                <w:szCs w:val="21"/>
                <w:lang w:eastAsia="zh-CN"/>
              </w:rPr>
              <w:t>厂区内监控点执行《挥发性有机物无组织排放控制标准》（GB37822-2019）表A.1 特别排放限值，厂界浓度执行《工业企业挥发性有机物排放控制标准》（DB13/2322-2016）表2企业边界浓度限值要求；氯乙烯、氯化氢执行《烧碱、聚氯乙烯工业污染物排放标准》（GB15581-2016）表5企业边界大气污染物浓度限值。</w:t>
            </w:r>
          </w:p>
        </w:tc>
        <w:tc>
          <w:tcPr>
            <w:tcW w:w="2445" w:type="dxa"/>
            <w:tcBorders>
              <w:tl2br w:val="nil"/>
              <w:tr2bl w:val="nil"/>
            </w:tcBorders>
            <w:tcMar>
              <w:top w:w="0" w:type="dxa"/>
              <w:left w:w="0" w:type="dxa"/>
              <w:bottom w:w="0" w:type="dxa"/>
              <w:right w:w="0"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项目实际</w:t>
            </w:r>
            <w:r>
              <w:rPr>
                <w:rFonts w:hint="eastAsia" w:ascii="Times New Roman" w:hAnsi="Times New Roman" w:cs="Times New Roman"/>
                <w:color w:val="auto"/>
                <w:sz w:val="21"/>
                <w:szCs w:val="21"/>
                <w:lang w:eastAsia="zh-CN"/>
              </w:rPr>
              <w:t>等离子净化机+二级活性炭装置</w:t>
            </w:r>
            <w:r>
              <w:rPr>
                <w:rFonts w:hint="eastAsia" w:ascii="Times New Roman" w:hAnsi="Times New Roman" w:cs="Times New Roman"/>
                <w:b w:val="0"/>
                <w:bCs/>
                <w:sz w:val="21"/>
                <w:szCs w:val="21"/>
                <w:lang w:val="en-US" w:eastAsia="zh-CN"/>
              </w:rPr>
              <w:t>，车间</w:t>
            </w:r>
            <w:r>
              <w:rPr>
                <w:rFonts w:hint="default" w:ascii="Times New Roman" w:hAnsi="Times New Roman" w:eastAsia="宋体" w:cs="Times New Roman"/>
                <w:b w:val="0"/>
                <w:bCs/>
                <w:sz w:val="21"/>
                <w:szCs w:val="21"/>
                <w:lang w:val="en-US" w:eastAsia="zh-CN"/>
              </w:rPr>
              <w:t>废气执行《工业企业挥发性有机物排放控制标准》（DB13/2322-2016）表3生产车间或生产设备边界大气污染物浓度限值及《挥发性有机物无组织排放控制标准》(GB 37822-2019)表A.1厂区内VOCs无组织特别排放限值</w:t>
            </w:r>
            <w:r>
              <w:rPr>
                <w:rFonts w:hint="eastAsia" w:ascii="Times New Roman" w:hAnsi="Times New Roman" w:cs="Times New Roman"/>
                <w:b w:val="0"/>
                <w:bCs/>
                <w:sz w:val="21"/>
                <w:szCs w:val="21"/>
                <w:lang w:val="en-US" w:eastAsia="zh-CN"/>
              </w:rPr>
              <w:t>，其余均</w:t>
            </w:r>
            <w:r>
              <w:rPr>
                <w:rFonts w:hint="default" w:ascii="Times New Roman" w:hAnsi="Times New Roman" w:eastAsia="宋体" w:cs="Times New Roman"/>
                <w:b w:val="0"/>
                <w:bCs/>
                <w:sz w:val="21"/>
                <w:szCs w:val="21"/>
                <w:lang w:val="en-US"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4</w:t>
            </w:r>
          </w:p>
        </w:tc>
        <w:tc>
          <w:tcPr>
            <w:tcW w:w="706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r>
              <w:rPr>
                <w:rFonts w:hint="eastAsia" w:ascii="Times New Roman" w:hAnsi="Times New Roman" w:cs="Times New Roman"/>
                <w:color w:val="auto"/>
                <w:sz w:val="21"/>
                <w:szCs w:val="21"/>
                <w:lang w:eastAsia="zh-CN"/>
              </w:rPr>
              <w:t>项目设备工艺冷却水循环使用不外排。项目生活用水主要为员工盥洗用水全部排入防渗化粪池，由当地农民定期清掏作为农肥使用，不外排。</w:t>
            </w:r>
          </w:p>
        </w:tc>
        <w:tc>
          <w:tcPr>
            <w:tcW w:w="2445" w:type="dxa"/>
            <w:tcBorders>
              <w:tl2br w:val="nil"/>
              <w:tr2bl w:val="nil"/>
            </w:tcBorders>
            <w:tcMar>
              <w:top w:w="0" w:type="dxa"/>
              <w:left w:w="0" w:type="dxa"/>
              <w:bottom w:w="0" w:type="dxa"/>
              <w:right w:w="0"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5</w:t>
            </w:r>
          </w:p>
        </w:tc>
        <w:tc>
          <w:tcPr>
            <w:tcW w:w="706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噪声：项目噪声源主要为生产过程中</w:t>
            </w:r>
            <w:r>
              <w:rPr>
                <w:rFonts w:hint="eastAsia" w:ascii="Times New Roman" w:hAnsi="Times New Roman" w:cs="Times New Roman"/>
                <w:color w:val="auto"/>
                <w:sz w:val="21"/>
                <w:szCs w:val="21"/>
                <w:lang w:eastAsia="zh-CN"/>
              </w:rPr>
              <w:t>切割机</w:t>
            </w:r>
            <w:r>
              <w:rPr>
                <w:rFonts w:hint="default" w:ascii="Times New Roman" w:hAnsi="Times New Roman" w:eastAsia="宋体" w:cs="Times New Roman"/>
                <w:color w:val="auto"/>
                <w:sz w:val="21"/>
                <w:szCs w:val="21"/>
                <w:lang w:eastAsia="zh-CN"/>
              </w:rPr>
              <w:t>等设备运行产生的噪声。产噪设备选用低噪声设备，设备加减振装置，厂房隔声等措施，</w:t>
            </w:r>
            <w:r>
              <w:rPr>
                <w:rFonts w:hint="eastAsia" w:ascii="Times New Roman" w:hAnsi="Times New Roman" w:cs="Times New Roman"/>
                <w:sz w:val="21"/>
                <w:szCs w:val="21"/>
                <w:lang w:eastAsia="zh-CN"/>
              </w:rPr>
              <w:t>厂界噪声执行《工业企业厂界环境噪声排放标准》（</w:t>
            </w:r>
            <w:r>
              <w:rPr>
                <w:rFonts w:hint="eastAsia" w:ascii="Times New Roman" w:hAnsi="Times New Roman" w:cs="Times New Roman"/>
                <w:sz w:val="21"/>
                <w:szCs w:val="21"/>
                <w:lang w:val="en-US" w:eastAsia="zh-CN"/>
              </w:rPr>
              <w:t>GB12348-2008</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2类标准。</w:t>
            </w:r>
          </w:p>
        </w:tc>
        <w:tc>
          <w:tcPr>
            <w:tcW w:w="2445" w:type="dxa"/>
            <w:tcBorders>
              <w:tl2br w:val="nil"/>
              <w:tr2bl w:val="nil"/>
            </w:tcBorders>
            <w:tcMar>
              <w:top w:w="0" w:type="dxa"/>
              <w:left w:w="0" w:type="dxa"/>
              <w:bottom w:w="0" w:type="dxa"/>
              <w:right w:w="0"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6</w:t>
            </w:r>
          </w:p>
        </w:tc>
        <w:tc>
          <w:tcPr>
            <w:tcW w:w="706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废：项目固废主要为切割工序产生的下脚料，收集后回用于生产；活性炭吸附装置产生废活性炭，收集后存放于厂内危废暂存间，定期交由有资质单位集中处置；生活垃圾收集后交由环卫部门统一处理，暂存均执行《危险废物贮存污染控制标准》（GB18597-2001）及其修改单要求。</w:t>
            </w:r>
          </w:p>
        </w:tc>
        <w:tc>
          <w:tcPr>
            <w:tcW w:w="244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7</w:t>
            </w:r>
          </w:p>
        </w:tc>
        <w:tc>
          <w:tcPr>
            <w:tcW w:w="7065"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该项目总量控制指标为</w:t>
            </w:r>
            <w:r>
              <w:rPr>
                <w:rFonts w:hint="eastAsia" w:ascii="Times New Roman" w:hAnsi="Times New Roman" w:cs="Times New Roman"/>
                <w:sz w:val="21"/>
                <w:szCs w:val="21"/>
                <w:lang w:eastAsia="zh-CN"/>
              </w:rPr>
              <w:t>非甲烷总烃：</w:t>
            </w:r>
            <w:r>
              <w:rPr>
                <w:rFonts w:hint="eastAsia" w:ascii="Times New Roman" w:hAnsi="Times New Roman" w:cs="Times New Roman"/>
                <w:sz w:val="21"/>
                <w:szCs w:val="21"/>
                <w:lang w:val="en-US" w:eastAsia="zh-CN"/>
              </w:rPr>
              <w:t>0.0342</w:t>
            </w:r>
            <w:r>
              <w:rPr>
                <w:rFonts w:hint="default" w:ascii="Times New Roman" w:hAnsi="Times New Roman" w:eastAsia="宋体" w:cs="Times New Roman"/>
                <w:sz w:val="21"/>
                <w:szCs w:val="21"/>
              </w:rPr>
              <w:t>t/a</w:t>
            </w:r>
            <w:r>
              <w:rPr>
                <w:rFonts w:hint="eastAsia" w:ascii="Times New Roman" w:hAnsi="Times New Roman" w:cs="Times New Roman"/>
                <w:sz w:val="21"/>
                <w:szCs w:val="21"/>
                <w:lang w:eastAsia="zh-CN"/>
              </w:rPr>
              <w:t>，氯化氢：</w:t>
            </w:r>
            <w:r>
              <w:rPr>
                <w:rFonts w:hint="eastAsia" w:ascii="Times New Roman" w:hAnsi="Times New Roman" w:cs="Times New Roman"/>
                <w:sz w:val="21"/>
                <w:szCs w:val="21"/>
                <w:lang w:val="en-US" w:eastAsia="zh-CN"/>
              </w:rPr>
              <w:t>0.0792</w:t>
            </w:r>
            <w:r>
              <w:rPr>
                <w:rFonts w:hint="default" w:ascii="Times New Roman" w:hAnsi="Times New Roman" w:eastAsia="宋体" w:cs="Times New Roman"/>
                <w:sz w:val="21"/>
                <w:szCs w:val="21"/>
              </w:rPr>
              <w:t>t/a</w:t>
            </w:r>
            <w:r>
              <w:rPr>
                <w:rFonts w:hint="eastAsia" w:ascii="Times New Roman" w:hAnsi="Times New Roman" w:cs="Times New Roman"/>
                <w:sz w:val="21"/>
                <w:szCs w:val="21"/>
                <w:lang w:eastAsia="zh-CN"/>
              </w:rPr>
              <w:t>，氯乙烯：</w:t>
            </w:r>
            <w:r>
              <w:rPr>
                <w:rFonts w:hint="eastAsia" w:ascii="Times New Roman" w:hAnsi="Times New Roman" w:cs="Times New Roman"/>
                <w:sz w:val="21"/>
                <w:szCs w:val="21"/>
                <w:lang w:val="en-US" w:eastAsia="zh-CN"/>
              </w:rPr>
              <w:t>8.64×10</w:t>
            </w:r>
            <w:r>
              <w:rPr>
                <w:rFonts w:hint="eastAsia" w:ascii="Times New Roman" w:hAnsi="Times New Roman" w:cs="Times New Roman"/>
                <w:sz w:val="21"/>
                <w:szCs w:val="21"/>
                <w:vertAlign w:val="superscript"/>
                <w:lang w:val="en-US" w:eastAsia="zh-CN"/>
              </w:rPr>
              <w:t>-4</w:t>
            </w:r>
            <w:r>
              <w:rPr>
                <w:rFonts w:hint="default" w:ascii="Times New Roman" w:hAnsi="Times New Roman" w:eastAsia="宋体" w:cs="Times New Roman"/>
                <w:sz w:val="21"/>
                <w:szCs w:val="21"/>
              </w:rPr>
              <w:t>t/a</w:t>
            </w:r>
            <w:r>
              <w:rPr>
                <w:rFonts w:hint="eastAsia" w:ascii="Times New Roman" w:hAnsi="Times New Roman" w:cs="Times New Roman"/>
                <w:sz w:val="21"/>
                <w:szCs w:val="21"/>
                <w:lang w:eastAsia="zh-CN"/>
              </w:rPr>
              <w:t>。</w:t>
            </w:r>
          </w:p>
        </w:tc>
        <w:tc>
          <w:tcPr>
            <w:tcW w:w="2445" w:type="dxa"/>
            <w:tcBorders>
              <w:tl2br w:val="nil"/>
              <w:tr2bl w:val="nil"/>
            </w:tcBorders>
            <w:tcMar>
              <w:top w:w="0" w:type="dxa"/>
              <w:left w:w="0" w:type="dxa"/>
              <w:bottom w:w="0" w:type="dxa"/>
              <w:right w:w="0"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落实</w:t>
            </w:r>
          </w:p>
        </w:tc>
      </w:tr>
    </w:tbl>
    <w:p>
      <w:pPr>
        <w:pStyle w:val="5"/>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68" w:name="_Toc26718"/>
      <w:bookmarkStart w:id="169" w:name="_Toc21101"/>
    </w:p>
    <w:p>
      <w:pPr>
        <w:pStyle w:val="5"/>
        <w:rPr>
          <w:rFonts w:hint="default" w:ascii="Times New Roman" w:hAnsi="Times New Roman" w:eastAsia="宋体" w:cs="Times New Roman"/>
        </w:rPr>
      </w:pPr>
      <w:bookmarkStart w:id="170" w:name="_Toc1160"/>
      <w:r>
        <w:rPr>
          <w:rFonts w:hint="default" w:ascii="Times New Roman" w:hAnsi="Times New Roman" w:eastAsia="宋体" w:cs="Times New Roman"/>
        </w:rPr>
        <w:t>5 验收评价标准</w:t>
      </w:r>
      <w:bookmarkEnd w:id="166"/>
      <w:bookmarkEnd w:id="168"/>
      <w:bookmarkEnd w:id="169"/>
      <w:bookmarkEnd w:id="170"/>
    </w:p>
    <w:p>
      <w:pPr>
        <w:pStyle w:val="6"/>
        <w:rPr>
          <w:rFonts w:hint="default" w:ascii="Times New Roman" w:hAnsi="Times New Roman" w:eastAsia="宋体" w:cs="Times New Roman"/>
        </w:rPr>
      </w:pPr>
      <w:bookmarkStart w:id="171" w:name="_Toc14578"/>
      <w:bookmarkStart w:id="172" w:name="_Toc21113"/>
      <w:bookmarkStart w:id="173" w:name="_Toc26520"/>
      <w:bookmarkStart w:id="174" w:name="_Toc18951"/>
      <w:r>
        <w:rPr>
          <w:rFonts w:hint="default" w:ascii="Times New Roman" w:hAnsi="Times New Roman" w:eastAsia="宋体" w:cs="Times New Roman"/>
        </w:rPr>
        <w:t>5.1 污染物排放标准</w:t>
      </w:r>
      <w:bookmarkEnd w:id="171"/>
      <w:bookmarkEnd w:id="172"/>
      <w:bookmarkEnd w:id="173"/>
      <w:bookmarkEnd w:id="174"/>
    </w:p>
    <w:p>
      <w:pPr>
        <w:pStyle w:val="7"/>
        <w:rPr>
          <w:rFonts w:hint="default" w:ascii="Times New Roman" w:hAnsi="Times New Roman" w:eastAsia="宋体" w:cs="Times New Roman"/>
        </w:rPr>
      </w:pPr>
      <w:bookmarkStart w:id="175" w:name="_Toc497001474"/>
      <w:bookmarkStart w:id="176" w:name="_Toc496979035"/>
      <w:bookmarkStart w:id="177" w:name="_Toc23230"/>
      <w:bookmarkStart w:id="178" w:name="_Toc29448"/>
      <w:bookmarkStart w:id="179" w:name="_Toc14938"/>
      <w:bookmarkStart w:id="180" w:name="_Toc11116"/>
      <w:r>
        <w:rPr>
          <w:rFonts w:hint="default" w:ascii="Times New Roman" w:hAnsi="Times New Roman" w:eastAsia="宋体" w:cs="Times New Roman"/>
        </w:rPr>
        <w:t xml:space="preserve">5.1.1 </w:t>
      </w:r>
      <w:bookmarkEnd w:id="175"/>
      <w:bookmarkEnd w:id="176"/>
      <w:r>
        <w:rPr>
          <w:rFonts w:hint="default" w:ascii="Times New Roman" w:hAnsi="Times New Roman" w:eastAsia="宋体" w:cs="Times New Roman"/>
        </w:rPr>
        <w:t>废气</w:t>
      </w:r>
      <w:bookmarkEnd w:id="177"/>
      <w:bookmarkEnd w:id="178"/>
      <w:bookmarkEnd w:id="179"/>
      <w:bookmarkEnd w:id="180"/>
    </w:p>
    <w:p>
      <w:pPr>
        <w:spacing w:line="480" w:lineRule="atLeast"/>
        <w:ind w:firstLine="480" w:firstLineChars="200"/>
        <w:rPr>
          <w:rFonts w:hint="default" w:ascii="Times New Roman" w:hAnsi="Times New Roman" w:eastAsia="宋体" w:cs="Times New Roman"/>
          <w:sz w:val="24"/>
          <w:szCs w:val="24"/>
          <w:lang w:eastAsia="zh-CN"/>
        </w:rPr>
      </w:pPr>
      <w:bookmarkStart w:id="181" w:name="_Toc15961"/>
      <w:bookmarkStart w:id="182" w:name="_Toc29912"/>
      <w:bookmarkStart w:id="183" w:name="_Toc29236"/>
      <w:r>
        <w:rPr>
          <w:rFonts w:hint="default" w:ascii="Times New Roman" w:hAnsi="Times New Roman" w:eastAsia="宋体" w:cs="Times New Roman"/>
          <w:sz w:val="24"/>
          <w:szCs w:val="24"/>
          <w:lang w:eastAsia="zh-CN"/>
        </w:rPr>
        <w:t>废气执行标准见表</w:t>
      </w:r>
      <w:r>
        <w:rPr>
          <w:rFonts w:hint="default" w:ascii="Times New Roman" w:hAnsi="Times New Roman" w:eastAsia="宋体" w:cs="Times New Roman"/>
          <w:sz w:val="24"/>
          <w:szCs w:val="24"/>
          <w:lang w:val="en-US" w:eastAsia="zh-CN"/>
        </w:rPr>
        <w:t>5-1。</w:t>
      </w:r>
      <w:bookmarkEnd w:id="181"/>
      <w:bookmarkEnd w:id="182"/>
      <w:bookmarkEnd w:id="183"/>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表5-1  废气执行标准</w:t>
      </w:r>
    </w:p>
    <w:tbl>
      <w:tblPr>
        <w:tblStyle w:val="22"/>
        <w:tblW w:w="50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856"/>
        <w:gridCol w:w="2351"/>
        <w:gridCol w:w="4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04" w:type="pct"/>
            <w:tcBorders>
              <w:tl2br w:val="nil"/>
              <w:tr2bl w:val="nil"/>
            </w:tcBorders>
            <w:tcMar>
              <w:top w:w="0" w:type="dxa"/>
              <w:left w:w="0" w:type="dxa"/>
              <w:bottom w:w="0" w:type="dxa"/>
              <w:right w:w="0" w:type="dxa"/>
            </w:tcMar>
            <w:vAlign w:val="center"/>
          </w:tcPr>
          <w:p>
            <w:pPr>
              <w:spacing w:line="240" w:lineRule="auto"/>
              <w:jc w:val="center"/>
              <w:rPr>
                <w:rFonts w:hint="default" w:ascii="Times New Roman" w:hAnsi="Times New Roman" w:eastAsia="宋体" w:cs="Times New Roman"/>
                <w:b/>
                <w:bCs w:val="0"/>
                <w:color w:val="auto"/>
                <w:spacing w:val="-10"/>
                <w:sz w:val="21"/>
                <w:szCs w:val="21"/>
              </w:rPr>
            </w:pPr>
            <w:r>
              <w:rPr>
                <w:rFonts w:hint="default" w:ascii="Times New Roman" w:hAnsi="Times New Roman" w:eastAsia="宋体" w:cs="Times New Roman"/>
                <w:b/>
                <w:bCs w:val="0"/>
                <w:color w:val="auto"/>
                <w:spacing w:val="-10"/>
                <w:sz w:val="21"/>
                <w:szCs w:val="21"/>
                <w:lang w:eastAsia="zh-CN"/>
              </w:rPr>
              <w:t>污染</w:t>
            </w:r>
            <w:r>
              <w:rPr>
                <w:rFonts w:hint="default" w:ascii="Times New Roman" w:hAnsi="Times New Roman" w:eastAsia="宋体" w:cs="Times New Roman"/>
                <w:b/>
                <w:bCs w:val="0"/>
                <w:color w:val="auto"/>
                <w:spacing w:val="-10"/>
                <w:sz w:val="21"/>
                <w:szCs w:val="21"/>
              </w:rPr>
              <w:t>源</w:t>
            </w:r>
          </w:p>
        </w:tc>
        <w:tc>
          <w:tcPr>
            <w:tcW w:w="1398" w:type="pct"/>
            <w:tcBorders>
              <w:tl2br w:val="nil"/>
              <w:tr2bl w:val="nil"/>
            </w:tcBorders>
            <w:tcMar>
              <w:top w:w="0" w:type="dxa"/>
              <w:left w:w="0" w:type="dxa"/>
              <w:bottom w:w="0" w:type="dxa"/>
              <w:right w:w="0" w:type="dxa"/>
            </w:tcMar>
            <w:vAlign w:val="center"/>
          </w:tcPr>
          <w:p>
            <w:pPr>
              <w:adjustRightInd w:val="0"/>
              <w:snapToGrid w:val="0"/>
              <w:spacing w:line="240" w:lineRule="auto"/>
              <w:jc w:val="center"/>
              <w:rPr>
                <w:rFonts w:hint="default" w:ascii="Times New Roman" w:hAnsi="Times New Roman" w:eastAsia="宋体" w:cs="Times New Roman"/>
                <w:b/>
                <w:bCs w:val="0"/>
                <w:color w:val="auto"/>
                <w:spacing w:val="-10"/>
                <w:sz w:val="21"/>
                <w:szCs w:val="21"/>
              </w:rPr>
            </w:pPr>
            <w:r>
              <w:rPr>
                <w:rFonts w:hint="default" w:ascii="Times New Roman" w:hAnsi="Times New Roman" w:eastAsia="宋体" w:cs="Times New Roman"/>
                <w:b/>
                <w:bCs w:val="0"/>
                <w:color w:val="auto"/>
                <w:sz w:val="21"/>
                <w:szCs w:val="21"/>
              </w:rPr>
              <w:t>标准值</w:t>
            </w:r>
          </w:p>
        </w:tc>
        <w:tc>
          <w:tcPr>
            <w:tcW w:w="2497" w:type="pct"/>
            <w:tcBorders>
              <w:tl2br w:val="nil"/>
              <w:tr2bl w:val="nil"/>
            </w:tcBorders>
            <w:tcMar>
              <w:top w:w="0" w:type="dxa"/>
              <w:left w:w="0" w:type="dxa"/>
              <w:bottom w:w="0" w:type="dxa"/>
              <w:right w:w="0" w:type="dxa"/>
            </w:tcMar>
            <w:vAlign w:val="center"/>
          </w:tcPr>
          <w:p>
            <w:pPr>
              <w:adjustRightInd w:val="0"/>
              <w:snapToGrid w:val="0"/>
              <w:spacing w:line="240" w:lineRule="auto"/>
              <w:jc w:val="center"/>
              <w:rPr>
                <w:rFonts w:hint="default" w:ascii="Times New Roman" w:hAnsi="Times New Roman" w:eastAsia="宋体" w:cs="Times New Roman"/>
                <w:b/>
                <w:bCs w:val="0"/>
                <w:color w:val="auto"/>
                <w:spacing w:val="-10"/>
                <w:sz w:val="21"/>
                <w:szCs w:val="21"/>
                <w:lang w:eastAsia="zh-CN"/>
              </w:rPr>
            </w:pPr>
            <w:r>
              <w:rPr>
                <w:rFonts w:hint="default" w:ascii="Times New Roman" w:hAnsi="Times New Roman" w:eastAsia="宋体" w:cs="Times New Roman"/>
                <w:b/>
                <w:bCs w:val="0"/>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4" w:hRule="atLeast"/>
          <w:jc w:val="center"/>
        </w:trPr>
        <w:tc>
          <w:tcPr>
            <w:tcW w:w="1104" w:type="pc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spacing w:val="0"/>
                <w:sz w:val="21"/>
                <w:szCs w:val="21"/>
                <w:highlight w:val="none"/>
                <w:lang w:val="en-US" w:eastAsia="zh-CN"/>
              </w:rPr>
              <w:t>塑化</w:t>
            </w:r>
            <w:r>
              <w:rPr>
                <w:rFonts w:hint="default" w:ascii="Times New Roman" w:hAnsi="Times New Roman" w:cs="Times New Roman"/>
                <w:spacing w:val="0"/>
                <w:sz w:val="21"/>
                <w:szCs w:val="21"/>
                <w:highlight w:val="none"/>
                <w:lang w:val="en-US" w:eastAsia="zh-CN"/>
              </w:rPr>
              <w:t>工序</w:t>
            </w:r>
            <w:r>
              <w:rPr>
                <w:rFonts w:hint="eastAsia" w:ascii="Times New Roman" w:hAnsi="Times New Roman" w:cs="Times New Roman"/>
                <w:spacing w:val="0"/>
                <w:sz w:val="21"/>
                <w:szCs w:val="21"/>
                <w:highlight w:val="none"/>
                <w:lang w:val="en-US" w:eastAsia="zh-CN"/>
              </w:rPr>
              <w:t>废气</w:t>
            </w:r>
          </w:p>
        </w:tc>
        <w:tc>
          <w:tcPr>
            <w:tcW w:w="1398" w:type="pct"/>
            <w:tcBorders>
              <w:tl2br w:val="nil"/>
              <w:tr2bl w:val="nil"/>
            </w:tcBorders>
            <w:tcMar>
              <w:top w:w="0" w:type="dxa"/>
              <w:left w:w="0" w:type="dxa"/>
              <w:bottom w:w="0" w:type="dxa"/>
              <w:right w:w="0" w:type="dxa"/>
            </w:tcMar>
            <w:vAlign w:val="center"/>
          </w:tcPr>
          <w:p>
            <w:pPr>
              <w:tabs>
                <w:tab w:val="left" w:pos="6405"/>
              </w:tabs>
              <w:adjustRightInd w:val="0"/>
              <w:snapToGrid w:val="0"/>
              <w:spacing w:line="240" w:lineRule="auto"/>
              <w:jc w:val="center"/>
              <w:rPr>
                <w:rFonts w:hint="default"/>
                <w:vertAlign w:val="superscript"/>
              </w:rPr>
            </w:pPr>
            <w:r>
              <w:rPr>
                <w:rFonts w:hint="eastAsia"/>
                <w:lang w:eastAsia="zh-CN"/>
              </w:rPr>
              <w:t>非甲烷总烃</w:t>
            </w:r>
            <w:r>
              <w:rPr>
                <w:rFonts w:hint="default"/>
              </w:rPr>
              <w:t>：</w:t>
            </w:r>
            <w:r>
              <w:rPr>
                <w:rFonts w:hint="eastAsia"/>
                <w:lang w:val="en-US" w:eastAsia="zh-CN"/>
              </w:rPr>
              <w:t>20</w:t>
            </w:r>
            <w:r>
              <w:rPr>
                <w:rFonts w:hint="default"/>
                <w:lang w:eastAsia="zh-CN"/>
              </w:rPr>
              <w:t>mg/m</w:t>
            </w:r>
            <w:r>
              <w:rPr>
                <w:rFonts w:hint="default"/>
                <w:vertAlign w:val="superscript"/>
                <w:lang w:eastAsia="zh-CN"/>
              </w:rPr>
              <w:t>3</w:t>
            </w:r>
          </w:p>
          <w:p>
            <w:pPr>
              <w:tabs>
                <w:tab w:val="left" w:pos="6405"/>
              </w:tabs>
              <w:adjustRightInd w:val="0"/>
              <w:snapToGrid w:val="0"/>
              <w:spacing w:line="240" w:lineRule="auto"/>
              <w:jc w:val="center"/>
              <w:rPr>
                <w:rFonts w:hint="eastAsia"/>
                <w:lang w:val="en-US" w:eastAsia="zh-CN"/>
              </w:rPr>
            </w:pPr>
            <w:r>
              <w:rPr>
                <w:rFonts w:hint="eastAsia"/>
                <w:lang w:eastAsia="zh-CN"/>
              </w:rPr>
              <w:t>去除效率：</w:t>
            </w:r>
            <w:r>
              <w:rPr>
                <w:rFonts w:hint="eastAsia"/>
                <w:lang w:val="en-US" w:eastAsia="zh-CN"/>
              </w:rPr>
              <w:t>90%</w:t>
            </w:r>
          </w:p>
          <w:p>
            <w:pPr>
              <w:tabs>
                <w:tab w:val="left" w:pos="6405"/>
              </w:tabs>
              <w:adjustRightInd w:val="0"/>
              <w:snapToGrid w:val="0"/>
              <w:spacing w:line="240" w:lineRule="auto"/>
              <w:jc w:val="center"/>
              <w:rPr>
                <w:rFonts w:hint="default"/>
                <w:lang w:eastAsia="zh-CN"/>
              </w:rPr>
            </w:pPr>
            <w:r>
              <w:rPr>
                <w:rFonts w:hint="eastAsia"/>
                <w:lang w:val="en-US" w:eastAsia="zh-CN"/>
              </w:rPr>
              <w:t>氯乙烯：10</w:t>
            </w:r>
            <w:r>
              <w:rPr>
                <w:rFonts w:hint="default"/>
                <w:lang w:eastAsia="zh-CN"/>
              </w:rPr>
              <w:t>mg/m</w:t>
            </w:r>
            <w:r>
              <w:rPr>
                <w:rFonts w:hint="default"/>
                <w:vertAlign w:val="superscript"/>
                <w:lang w:eastAsia="zh-CN"/>
              </w:rPr>
              <w:t>3</w:t>
            </w:r>
          </w:p>
          <w:p>
            <w:pPr>
              <w:tabs>
                <w:tab w:val="left" w:pos="6405"/>
              </w:tabs>
              <w:adjustRightInd w:val="0"/>
              <w:snapToGrid w:val="0"/>
              <w:spacing w:line="240" w:lineRule="auto"/>
              <w:jc w:val="center"/>
              <w:rPr>
                <w:rFonts w:hint="default"/>
                <w:lang w:val="en-US" w:eastAsia="zh-CN"/>
              </w:rPr>
            </w:pPr>
            <w:r>
              <w:rPr>
                <w:rFonts w:hint="eastAsia"/>
                <w:lang w:val="en-US" w:eastAsia="zh-CN"/>
              </w:rPr>
              <w:t>氯化氢：20</w:t>
            </w:r>
            <w:r>
              <w:rPr>
                <w:rFonts w:hint="default"/>
                <w:lang w:eastAsia="zh-CN"/>
              </w:rPr>
              <w:t>mg/m</w:t>
            </w:r>
            <w:r>
              <w:rPr>
                <w:rFonts w:hint="default"/>
                <w:vertAlign w:val="superscript"/>
                <w:lang w:eastAsia="zh-CN"/>
              </w:rPr>
              <w:t>3</w:t>
            </w:r>
          </w:p>
        </w:tc>
        <w:tc>
          <w:tcPr>
            <w:tcW w:w="2497" w:type="pc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sz w:val="21"/>
                <w:szCs w:val="21"/>
                <w:lang w:val="en-US" w:eastAsia="zh-CN"/>
              </w:rPr>
              <w:t>执行</w:t>
            </w:r>
            <w:r>
              <w:rPr>
                <w:rFonts w:hint="default" w:ascii="Times New Roman" w:hAnsi="Times New Roman" w:cs="Times New Roman"/>
                <w:sz w:val="21"/>
                <w:szCs w:val="21"/>
                <w:lang w:val="en-US" w:eastAsia="zh-CN"/>
              </w:rPr>
              <w:t>《烧碱、聚氯乙烯工业污染物排放标准》（GB15581-2016）表4中大气污染物特别排放浓度限值及《工业企业挥发性有机物排放控制标准》（DB13/2322-2016）表1中有机化工业去除率要求</w:t>
            </w: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04" w:type="pc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厂界无组织废气</w:t>
            </w:r>
          </w:p>
        </w:tc>
        <w:tc>
          <w:tcPr>
            <w:tcW w:w="1398" w:type="pct"/>
            <w:tcBorders>
              <w:tl2br w:val="nil"/>
              <w:tr2bl w:val="nil"/>
            </w:tcBorders>
            <w:tcMar>
              <w:top w:w="0" w:type="dxa"/>
              <w:left w:w="0" w:type="dxa"/>
              <w:bottom w:w="0" w:type="dxa"/>
              <w:right w:w="0" w:type="dxa"/>
            </w:tcMar>
            <w:vAlign w:val="center"/>
          </w:tcPr>
          <w:p>
            <w:pPr>
              <w:tabs>
                <w:tab w:val="left" w:pos="6405"/>
              </w:tabs>
              <w:adjustRightInd w:val="0"/>
              <w:snapToGrid w:val="0"/>
              <w:spacing w:line="240" w:lineRule="auto"/>
              <w:jc w:val="center"/>
              <w:rPr>
                <w:rFonts w:hint="default"/>
                <w:vertAlign w:val="superscript"/>
                <w:lang w:eastAsia="zh-CN"/>
              </w:rPr>
            </w:pPr>
            <w:r>
              <w:rPr>
                <w:rFonts w:hint="eastAsia"/>
                <w:lang w:eastAsia="zh-CN"/>
              </w:rPr>
              <w:t>非甲烷总烃</w:t>
            </w:r>
            <w:r>
              <w:rPr>
                <w:rFonts w:hint="default"/>
              </w:rPr>
              <w:t>：</w:t>
            </w:r>
            <w:r>
              <w:rPr>
                <w:rFonts w:hint="eastAsia"/>
                <w:lang w:val="en-US" w:eastAsia="zh-CN"/>
              </w:rPr>
              <w:t>2.0</w:t>
            </w:r>
            <w:r>
              <w:rPr>
                <w:rFonts w:hint="default"/>
                <w:lang w:eastAsia="zh-CN"/>
              </w:rPr>
              <w:t>mg/m</w:t>
            </w:r>
            <w:r>
              <w:rPr>
                <w:rFonts w:hint="default"/>
                <w:vertAlign w:val="superscript"/>
                <w:lang w:eastAsia="zh-CN"/>
              </w:rPr>
              <w:t>3</w:t>
            </w:r>
          </w:p>
          <w:p>
            <w:pPr>
              <w:tabs>
                <w:tab w:val="left" w:pos="6405"/>
              </w:tabs>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lang w:eastAsia="zh-CN"/>
              </w:rPr>
              <w:t>氯乙烯</w:t>
            </w:r>
            <w:r>
              <w:rPr>
                <w:rFonts w:hint="default"/>
              </w:rPr>
              <w:t>：</w:t>
            </w:r>
            <w:r>
              <w:rPr>
                <w:rFonts w:hint="eastAsia"/>
                <w:lang w:val="en-US" w:eastAsia="zh-CN"/>
              </w:rPr>
              <w:t>0.15</w:t>
            </w:r>
            <w:r>
              <w:rPr>
                <w:rFonts w:hint="default"/>
                <w:lang w:eastAsia="zh-CN"/>
              </w:rPr>
              <w:t>mg/m</w:t>
            </w:r>
            <w:r>
              <w:rPr>
                <w:rFonts w:hint="default"/>
                <w:vertAlign w:val="superscript"/>
                <w:lang w:eastAsia="zh-CN"/>
              </w:rPr>
              <w:t>3</w:t>
            </w:r>
            <w:r>
              <w:rPr>
                <w:rFonts w:hint="default"/>
                <w:vertAlign w:val="superscript"/>
                <w:lang w:eastAsia="zh-CN"/>
              </w:rPr>
              <w:br w:type="textWrapping"/>
            </w:r>
            <w:r>
              <w:rPr>
                <w:rFonts w:hint="eastAsia"/>
                <w:vertAlign w:val="baseline"/>
                <w:lang w:eastAsia="zh-CN"/>
              </w:rPr>
              <w:t>氯化氢：</w:t>
            </w:r>
            <w:r>
              <w:rPr>
                <w:rFonts w:hint="eastAsia"/>
                <w:vertAlign w:val="baseline"/>
                <w:lang w:val="en-US" w:eastAsia="zh-CN"/>
              </w:rPr>
              <w:t>0.2</w:t>
            </w:r>
            <w:r>
              <w:rPr>
                <w:rFonts w:hint="default"/>
                <w:lang w:eastAsia="zh-CN"/>
              </w:rPr>
              <w:t>mg/m</w:t>
            </w:r>
            <w:r>
              <w:rPr>
                <w:rFonts w:hint="default"/>
                <w:vertAlign w:val="superscript"/>
                <w:lang w:eastAsia="zh-CN"/>
              </w:rPr>
              <w:t>3</w:t>
            </w:r>
          </w:p>
        </w:tc>
        <w:tc>
          <w:tcPr>
            <w:tcW w:w="2497" w:type="pc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lang w:val="en-US" w:eastAsia="zh-CN"/>
              </w:rPr>
              <w:t>《工业企业挥发性有机物排放控制标准》（DB13/2322-2016）表2企业边界大气污染物浓度限值</w:t>
            </w:r>
            <w:r>
              <w:rPr>
                <w:rFonts w:hint="eastAsia" w:ascii="Times New Roman" w:hAnsi="Times New Roman" w:cs="Times New Roman"/>
                <w:lang w:val="en-US" w:eastAsia="zh-CN"/>
              </w:rPr>
              <w:t>；</w:t>
            </w:r>
            <w:r>
              <w:t>《烧碱、聚氯乙烯工业污染物排放标准》（GB15581-2016）表5企业边界大气污染物浓度限值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04" w:type="pc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bookmarkStart w:id="184" w:name="_Toc497001476"/>
            <w:bookmarkStart w:id="185" w:name="_Toc20210"/>
            <w:bookmarkStart w:id="186" w:name="_Toc12396"/>
            <w:bookmarkStart w:id="187" w:name="_Toc27196"/>
            <w:bookmarkStart w:id="188" w:name="_Toc496979037"/>
            <w:r>
              <w:rPr>
                <w:rFonts w:hint="eastAsia" w:ascii="Times New Roman" w:hAnsi="Times New Roman" w:cs="Times New Roman"/>
                <w:color w:val="auto"/>
                <w:sz w:val="21"/>
                <w:szCs w:val="21"/>
                <w:lang w:eastAsia="zh-CN"/>
              </w:rPr>
              <w:t>车间</w:t>
            </w:r>
            <w:r>
              <w:rPr>
                <w:rFonts w:hint="default" w:ascii="Times New Roman" w:hAnsi="Times New Roman" w:cs="Times New Roman"/>
                <w:color w:val="auto"/>
                <w:sz w:val="21"/>
                <w:szCs w:val="21"/>
                <w:lang w:eastAsia="zh-CN"/>
              </w:rPr>
              <w:t>无组织废气</w:t>
            </w:r>
          </w:p>
        </w:tc>
        <w:tc>
          <w:tcPr>
            <w:tcW w:w="1398" w:type="pct"/>
            <w:tcBorders>
              <w:tl2br w:val="nil"/>
              <w:tr2bl w:val="nil"/>
            </w:tcBorders>
            <w:tcMar>
              <w:top w:w="0" w:type="dxa"/>
              <w:left w:w="0" w:type="dxa"/>
              <w:bottom w:w="0" w:type="dxa"/>
              <w:right w:w="0" w:type="dxa"/>
            </w:tcMar>
            <w:vAlign w:val="center"/>
          </w:tcPr>
          <w:p>
            <w:pPr>
              <w:tabs>
                <w:tab w:val="left" w:pos="6405"/>
              </w:tabs>
              <w:adjustRightInd w:val="0"/>
              <w:snapToGrid w:val="0"/>
              <w:spacing w:line="240" w:lineRule="auto"/>
              <w:jc w:val="center"/>
              <w:rPr>
                <w:rFonts w:hint="default" w:ascii="Times New Roman" w:hAnsi="Times New Roman" w:cs="Times New Roman"/>
                <w:color w:val="auto"/>
                <w:sz w:val="21"/>
                <w:szCs w:val="21"/>
                <w:lang w:eastAsia="zh-CN"/>
              </w:rPr>
            </w:pPr>
            <w:r>
              <w:rPr>
                <w:rFonts w:hint="eastAsia"/>
                <w:lang w:eastAsia="zh-CN"/>
              </w:rPr>
              <w:t>非甲烷总烃</w:t>
            </w:r>
            <w:r>
              <w:rPr>
                <w:rFonts w:hint="default"/>
              </w:rPr>
              <w:t>：</w:t>
            </w:r>
            <w:r>
              <w:rPr>
                <w:rFonts w:hint="eastAsia"/>
                <w:lang w:val="en-US" w:eastAsia="zh-CN"/>
              </w:rPr>
              <w:t>4.0</w:t>
            </w:r>
            <w:r>
              <w:rPr>
                <w:rFonts w:hint="default"/>
                <w:lang w:eastAsia="zh-CN"/>
              </w:rPr>
              <w:t>mg/m</w:t>
            </w:r>
            <w:r>
              <w:rPr>
                <w:rFonts w:hint="default"/>
                <w:vertAlign w:val="superscript"/>
                <w:lang w:eastAsia="zh-CN"/>
              </w:rPr>
              <w:t>3</w:t>
            </w:r>
          </w:p>
        </w:tc>
        <w:tc>
          <w:tcPr>
            <w:tcW w:w="2497" w:type="pc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sz w:val="21"/>
                <w:szCs w:val="21"/>
                <w:lang w:val="en-US" w:eastAsia="zh-CN"/>
              </w:rPr>
            </w:pPr>
            <w:r>
              <w:rPr>
                <w:rFonts w:hint="default" w:ascii="Times New Roman" w:hAnsi="Times New Roman" w:eastAsia="宋体" w:cs="Times New Roman"/>
                <w:sz w:val="21"/>
                <w:szCs w:val="21"/>
              </w:rPr>
              <w:t>《工业企业挥发性有机物排放控制标准》（DB13/2322-2016）</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3生产车间或生产设备边界大气污染物浓度限值及</w:t>
            </w:r>
            <w:r>
              <w:rPr>
                <w:rFonts w:hint="default" w:ascii="Times New Roman" w:hAnsi="Times New Roman" w:eastAsia="宋体" w:cs="Times New Roman"/>
                <w:sz w:val="21"/>
                <w:szCs w:val="21"/>
              </w:rPr>
              <w:t>《挥发性有机物无组织排放控制标准》(GB</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37822-2019)表A.1厂区内VOCs无组织特别排放限值</w:t>
            </w:r>
          </w:p>
        </w:tc>
      </w:tr>
    </w:tbl>
    <w:p>
      <w:pPr>
        <w:pStyle w:val="7"/>
        <w:rPr>
          <w:rFonts w:hint="default" w:ascii="Times New Roman" w:hAnsi="Times New Roman" w:eastAsia="宋体" w:cs="Times New Roman"/>
        </w:rPr>
      </w:pPr>
      <w:bookmarkStart w:id="189" w:name="_Toc20984"/>
      <w:r>
        <w:rPr>
          <w:rFonts w:hint="default" w:ascii="Times New Roman" w:hAnsi="Times New Roman" w:eastAsia="宋体" w:cs="Times New Roman"/>
        </w:rPr>
        <w:t>5.1.2噪声</w:t>
      </w:r>
      <w:bookmarkEnd w:id="184"/>
      <w:bookmarkEnd w:id="185"/>
      <w:bookmarkEnd w:id="186"/>
      <w:bookmarkEnd w:id="187"/>
      <w:bookmarkEnd w:id="188"/>
      <w:bookmarkEnd w:id="189"/>
    </w:p>
    <w:p>
      <w:pPr>
        <w:spacing w:line="480" w:lineRule="atLeast"/>
        <w:ind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执行《工业企业厂界环境噪声排放标准》（GB12348-2008）</w:t>
      </w:r>
      <w:r>
        <w:rPr>
          <w:rFonts w:hint="default"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类</w:t>
      </w:r>
      <w:r>
        <w:rPr>
          <w:rFonts w:hint="default" w:ascii="Times New Roman" w:hAnsi="Times New Roman" w:eastAsia="宋体" w:cs="Times New Roman"/>
          <w:sz w:val="24"/>
          <w:szCs w:val="24"/>
        </w:rPr>
        <w:t>标准要求。标准值见表5-2。</w:t>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表5-2  厂界噪声排放标准</w:t>
      </w:r>
    </w:p>
    <w:tbl>
      <w:tblPr>
        <w:tblStyle w:val="22"/>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1974"/>
        <w:gridCol w:w="1554"/>
        <w:gridCol w:w="1822"/>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pct"/>
            <w:vAlign w:val="center"/>
          </w:tcPr>
          <w:p>
            <w:pPr>
              <w:pStyle w:val="17"/>
              <w:spacing w:line="300" w:lineRule="exact"/>
              <w:ind w:firstLineChars="0"/>
              <w:jc w:val="center"/>
              <w:rPr>
                <w:rFonts w:hint="default" w:ascii="Times New Roman" w:hAnsi="Times New Roman" w:eastAsia="宋体" w:cs="Times New Roman"/>
                <w:b/>
                <w:bCs/>
              </w:rPr>
            </w:pPr>
            <w:r>
              <w:rPr>
                <w:rFonts w:hint="default" w:ascii="Times New Roman" w:hAnsi="Times New Roman" w:eastAsia="宋体" w:cs="Times New Roman"/>
                <w:b/>
                <w:bCs/>
              </w:rPr>
              <w:t>环境要素</w:t>
            </w:r>
          </w:p>
        </w:tc>
        <w:tc>
          <w:tcPr>
            <w:tcW w:w="1165" w:type="pct"/>
            <w:vAlign w:val="center"/>
          </w:tcPr>
          <w:p>
            <w:pPr>
              <w:pStyle w:val="17"/>
              <w:spacing w:line="300" w:lineRule="exact"/>
              <w:jc w:val="center"/>
              <w:rPr>
                <w:rFonts w:hint="default" w:ascii="Times New Roman" w:hAnsi="Times New Roman" w:eastAsia="宋体" w:cs="Times New Roman"/>
                <w:b/>
                <w:bCs/>
              </w:rPr>
            </w:pPr>
            <w:r>
              <w:rPr>
                <w:rFonts w:hint="default" w:ascii="Times New Roman" w:hAnsi="Times New Roman" w:eastAsia="宋体" w:cs="Times New Roman"/>
                <w:b/>
                <w:bCs/>
              </w:rPr>
              <w:t>类别</w:t>
            </w:r>
          </w:p>
        </w:tc>
        <w:tc>
          <w:tcPr>
            <w:tcW w:w="917" w:type="pct"/>
            <w:vAlign w:val="center"/>
          </w:tcPr>
          <w:p>
            <w:pPr>
              <w:pStyle w:val="17"/>
              <w:spacing w:line="300" w:lineRule="exact"/>
              <w:jc w:val="center"/>
              <w:rPr>
                <w:rFonts w:hint="default" w:ascii="Times New Roman" w:hAnsi="Times New Roman" w:eastAsia="宋体" w:cs="Times New Roman"/>
                <w:b/>
                <w:bCs/>
              </w:rPr>
            </w:pPr>
            <w:r>
              <w:rPr>
                <w:rFonts w:hint="default" w:ascii="Times New Roman" w:hAnsi="Times New Roman" w:eastAsia="宋体" w:cs="Times New Roman"/>
                <w:b/>
                <w:bCs/>
              </w:rPr>
              <w:t>时段</w:t>
            </w:r>
          </w:p>
        </w:tc>
        <w:tc>
          <w:tcPr>
            <w:tcW w:w="1075" w:type="pct"/>
            <w:vAlign w:val="center"/>
          </w:tcPr>
          <w:p>
            <w:pPr>
              <w:pStyle w:val="17"/>
              <w:spacing w:line="300" w:lineRule="exact"/>
              <w:jc w:val="center"/>
              <w:rPr>
                <w:rFonts w:hint="default" w:ascii="Times New Roman" w:hAnsi="Times New Roman" w:eastAsia="宋体" w:cs="Times New Roman"/>
                <w:b/>
                <w:bCs/>
              </w:rPr>
            </w:pPr>
            <w:r>
              <w:rPr>
                <w:rFonts w:hint="default" w:ascii="Times New Roman" w:hAnsi="Times New Roman" w:eastAsia="宋体" w:cs="Times New Roman"/>
                <w:b/>
                <w:bCs/>
              </w:rPr>
              <w:t>标准值</w:t>
            </w:r>
          </w:p>
        </w:tc>
        <w:tc>
          <w:tcPr>
            <w:tcW w:w="960" w:type="pct"/>
            <w:vAlign w:val="center"/>
          </w:tcPr>
          <w:p>
            <w:pPr>
              <w:pStyle w:val="17"/>
              <w:spacing w:line="300" w:lineRule="exact"/>
              <w:jc w:val="center"/>
              <w:rPr>
                <w:rFonts w:hint="default" w:ascii="Times New Roman" w:hAnsi="Times New Roman" w:eastAsia="宋体" w:cs="Times New Roman"/>
                <w:b/>
                <w:bCs/>
              </w:rPr>
            </w:pPr>
            <w:r>
              <w:rPr>
                <w:rFonts w:hint="default" w:ascii="Times New Roman" w:hAnsi="Times New Roman" w:eastAsia="宋体"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pct"/>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165" w:type="pct"/>
            <w:vMerge w:val="restart"/>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2</w:t>
            </w:r>
            <w:r>
              <w:rPr>
                <w:rFonts w:hint="default" w:ascii="Times New Roman" w:hAnsi="Times New Roman" w:eastAsia="宋体" w:cs="Times New Roman"/>
                <w:szCs w:val="21"/>
              </w:rPr>
              <w:t>类</w:t>
            </w:r>
          </w:p>
        </w:tc>
        <w:tc>
          <w:tcPr>
            <w:tcW w:w="917"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075" w:type="pct"/>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60</w:t>
            </w:r>
          </w:p>
        </w:tc>
        <w:tc>
          <w:tcPr>
            <w:tcW w:w="960"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pct"/>
            <w:vMerge w:val="continue"/>
            <w:vAlign w:val="center"/>
          </w:tcPr>
          <w:p>
            <w:pPr>
              <w:spacing w:line="300" w:lineRule="exact"/>
              <w:jc w:val="center"/>
              <w:rPr>
                <w:rFonts w:hint="default" w:ascii="Times New Roman" w:hAnsi="Times New Roman" w:eastAsia="宋体" w:cs="Times New Roman"/>
                <w:bCs/>
                <w:szCs w:val="21"/>
              </w:rPr>
            </w:pPr>
            <w:bookmarkStart w:id="190" w:name="_Toc16968"/>
            <w:bookmarkStart w:id="191" w:name="_Toc5118"/>
            <w:bookmarkStart w:id="192" w:name="_Toc14398"/>
            <w:bookmarkStart w:id="193" w:name="_Toc497001478"/>
            <w:bookmarkStart w:id="194" w:name="_Toc26833"/>
          </w:p>
        </w:tc>
        <w:tc>
          <w:tcPr>
            <w:tcW w:w="1165" w:type="pct"/>
            <w:vMerge w:val="continue"/>
            <w:vAlign w:val="center"/>
          </w:tcPr>
          <w:p>
            <w:pPr>
              <w:spacing w:line="300" w:lineRule="exact"/>
              <w:jc w:val="center"/>
              <w:rPr>
                <w:rFonts w:hint="default" w:ascii="Times New Roman" w:hAnsi="Times New Roman" w:cs="Times New Roman"/>
                <w:szCs w:val="21"/>
                <w:lang w:val="en-US" w:eastAsia="zh-CN"/>
              </w:rPr>
            </w:pPr>
          </w:p>
        </w:tc>
        <w:tc>
          <w:tcPr>
            <w:tcW w:w="917" w:type="pct"/>
            <w:vAlign w:val="center"/>
          </w:tcPr>
          <w:p>
            <w:pPr>
              <w:spacing w:line="300" w:lineRule="exact"/>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夜间</w:t>
            </w:r>
          </w:p>
        </w:tc>
        <w:tc>
          <w:tcPr>
            <w:tcW w:w="1075" w:type="pct"/>
            <w:vAlign w:val="center"/>
          </w:tcPr>
          <w:p>
            <w:pPr>
              <w:spacing w:line="30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50</w:t>
            </w:r>
          </w:p>
        </w:tc>
        <w:tc>
          <w:tcPr>
            <w:tcW w:w="960" w:type="pct"/>
            <w:vAlign w:val="center"/>
          </w:tcPr>
          <w:p>
            <w:pPr>
              <w:spacing w:line="30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dB(A)</w:t>
            </w:r>
          </w:p>
        </w:tc>
      </w:tr>
    </w:tbl>
    <w:p>
      <w:pPr>
        <w:pStyle w:val="6"/>
        <w:rPr>
          <w:rFonts w:hint="default" w:ascii="Times New Roman" w:hAnsi="Times New Roman" w:eastAsia="宋体" w:cs="Times New Roman"/>
        </w:rPr>
      </w:pPr>
      <w:r>
        <w:rPr>
          <w:rFonts w:hint="default" w:ascii="Times New Roman" w:hAnsi="Times New Roman" w:eastAsia="宋体" w:cs="Times New Roman"/>
        </w:rPr>
        <w:t>5.2 总量控制指标</w:t>
      </w:r>
      <w:bookmarkEnd w:id="190"/>
      <w:bookmarkEnd w:id="191"/>
      <w:bookmarkEnd w:id="192"/>
      <w:bookmarkEnd w:id="193"/>
    </w:p>
    <w:p>
      <w:pPr>
        <w:spacing w:line="480" w:lineRule="atLeast"/>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sz w:val="24"/>
          <w:lang w:eastAsia="zh-CN"/>
        </w:rPr>
        <w:t>污染物总量控制指标的值为：非甲烷总烃：</w:t>
      </w:r>
      <w:r>
        <w:rPr>
          <w:rFonts w:hint="default" w:ascii="Times New Roman" w:hAnsi="Times New Roman" w:eastAsia="宋体" w:cs="Times New Roman"/>
          <w:sz w:val="24"/>
          <w:lang w:val="en-US" w:eastAsia="zh-CN"/>
        </w:rPr>
        <w:t>0.0342</w:t>
      </w:r>
      <w:r>
        <w:rPr>
          <w:rFonts w:hint="default" w:ascii="Times New Roman" w:hAnsi="Times New Roman" w:eastAsia="宋体" w:cs="Times New Roman"/>
          <w:sz w:val="24"/>
          <w:lang w:eastAsia="zh-CN"/>
        </w:rPr>
        <w:t>t/a，氯化氢：</w:t>
      </w:r>
      <w:r>
        <w:rPr>
          <w:rFonts w:hint="default" w:ascii="Times New Roman" w:hAnsi="Times New Roman" w:eastAsia="宋体" w:cs="Times New Roman"/>
          <w:sz w:val="24"/>
          <w:lang w:val="en-US" w:eastAsia="zh-CN"/>
        </w:rPr>
        <w:t>0.0792</w:t>
      </w:r>
      <w:r>
        <w:rPr>
          <w:rFonts w:hint="default" w:ascii="Times New Roman" w:hAnsi="Times New Roman" w:eastAsia="宋体" w:cs="Times New Roman"/>
          <w:sz w:val="24"/>
          <w:lang w:eastAsia="zh-CN"/>
        </w:rPr>
        <w:t>t/a，氯乙烯：</w:t>
      </w:r>
      <w:r>
        <w:rPr>
          <w:rFonts w:hint="default" w:ascii="Times New Roman" w:hAnsi="Times New Roman" w:eastAsia="宋体" w:cs="Times New Roman"/>
          <w:sz w:val="24"/>
          <w:lang w:val="en-US" w:eastAsia="zh-CN"/>
        </w:rPr>
        <w:t>8.64×10</w:t>
      </w:r>
      <w:r>
        <w:rPr>
          <w:rFonts w:hint="default" w:ascii="Times New Roman" w:hAnsi="Times New Roman" w:eastAsia="宋体" w:cs="Times New Roman"/>
          <w:sz w:val="24"/>
          <w:vertAlign w:val="superscript"/>
          <w:lang w:val="en-US" w:eastAsia="zh-CN"/>
        </w:rPr>
        <w:t>-4</w:t>
      </w:r>
      <w:r>
        <w:rPr>
          <w:rFonts w:hint="default" w:ascii="Times New Roman" w:hAnsi="Times New Roman" w:eastAsia="宋体" w:cs="Times New Roman"/>
          <w:sz w:val="24"/>
          <w:lang w:eastAsia="zh-CN"/>
        </w:rPr>
        <w:t>t/a。</w:t>
      </w:r>
    </w:p>
    <w:p>
      <w:pPr>
        <w:bidi w:val="0"/>
        <w:rPr>
          <w:rFonts w:hint="default"/>
        </w:rPr>
      </w:pPr>
      <w:r>
        <w:rPr>
          <w:rFonts w:hint="default"/>
        </w:rPr>
        <w:br w:type="page"/>
      </w:r>
    </w:p>
    <w:p>
      <w:pPr>
        <w:pStyle w:val="5"/>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0"/>
        <w:rPr>
          <w:rFonts w:hint="default" w:ascii="Times New Roman" w:hAnsi="Times New Roman" w:eastAsia="宋体" w:cs="Times New Roman"/>
        </w:rPr>
      </w:pPr>
      <w:bookmarkStart w:id="195" w:name="_Toc12999"/>
      <w:bookmarkStart w:id="196" w:name="_Toc15883"/>
      <w:bookmarkStart w:id="197" w:name="_Toc11099"/>
      <w:r>
        <w:rPr>
          <w:rFonts w:hint="default" w:ascii="Times New Roman" w:hAnsi="Times New Roman" w:eastAsia="宋体" w:cs="Times New Roman"/>
        </w:rPr>
        <w:t>6 质量保障措施和检测分析方法</w:t>
      </w:r>
      <w:bookmarkEnd w:id="194"/>
      <w:bookmarkEnd w:id="195"/>
      <w:bookmarkEnd w:id="196"/>
      <w:bookmarkEnd w:id="197"/>
    </w:p>
    <w:p>
      <w:pPr>
        <w:spacing w:line="440" w:lineRule="atLeast"/>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沧州燕赵环境监测技术服务有限公司</w:t>
      </w:r>
      <w:r>
        <w:rPr>
          <w:rFonts w:hint="default" w:ascii="Times New Roman" w:hAnsi="Times New Roman" w:eastAsia="宋体" w:cs="Times New Roman"/>
          <w:color w:val="000000"/>
          <w:sz w:val="24"/>
          <w:szCs w:val="24"/>
        </w:rPr>
        <w:t>于</w:t>
      </w:r>
      <w:r>
        <w:rPr>
          <w:rFonts w:hint="eastAsia" w:ascii="Times New Roman" w:hAnsi="Times New Roman" w:cs="Times New Roman"/>
          <w:color w:val="000000"/>
          <w:sz w:val="24"/>
          <w:szCs w:val="24"/>
          <w:lang w:val="en-US" w:eastAsia="zh-CN"/>
        </w:rPr>
        <w:t>2022年06月17日</w:t>
      </w:r>
      <w:r>
        <w:rPr>
          <w:rFonts w:hint="default" w:ascii="Times New Roman" w:hAnsi="Times New Roman" w:eastAsia="宋体" w:cs="Times New Roman"/>
          <w:color w:val="000000"/>
          <w:sz w:val="24"/>
          <w:szCs w:val="24"/>
          <w:lang w:eastAsia="zh-CN"/>
        </w:rPr>
        <w:t>至20</w:t>
      </w:r>
      <w:r>
        <w:rPr>
          <w:rFonts w:hint="eastAsia" w:ascii="Times New Roman" w:hAnsi="Times New Roman" w:cs="Times New Roman"/>
          <w:color w:val="000000"/>
          <w:sz w:val="24"/>
          <w:szCs w:val="24"/>
          <w:lang w:val="en-US" w:eastAsia="zh-CN"/>
        </w:rPr>
        <w:t>22</w:t>
      </w:r>
      <w:r>
        <w:rPr>
          <w:rFonts w:hint="default" w:ascii="Times New Roman" w:hAnsi="Times New Roman" w:eastAsia="宋体" w:cs="Times New Roman"/>
          <w:color w:val="000000"/>
          <w:sz w:val="24"/>
          <w:szCs w:val="24"/>
          <w:lang w:eastAsia="zh-CN"/>
        </w:rPr>
        <w:t>年</w:t>
      </w:r>
      <w:r>
        <w:rPr>
          <w:rFonts w:hint="eastAsia" w:ascii="Times New Roman" w:hAnsi="Times New Roman" w:cs="Times New Roman"/>
          <w:color w:val="000000"/>
          <w:sz w:val="24"/>
          <w:szCs w:val="24"/>
          <w:lang w:val="en-US" w:eastAsia="zh-CN"/>
        </w:rPr>
        <w:t>06月18日</w:t>
      </w:r>
      <w:r>
        <w:rPr>
          <w:rFonts w:hint="default" w:ascii="Times New Roman" w:hAnsi="Times New Roman" w:eastAsia="宋体" w:cs="Times New Roman"/>
          <w:color w:val="000000"/>
          <w:sz w:val="24"/>
          <w:szCs w:val="24"/>
        </w:rPr>
        <w:t>进行了竣工验收</w:t>
      </w:r>
      <w:r>
        <w:rPr>
          <w:rFonts w:hint="default" w:ascii="Times New Roman" w:hAnsi="Times New Roman" w:eastAsia="宋体" w:cs="Times New Roman"/>
          <w:color w:val="000000"/>
          <w:sz w:val="24"/>
          <w:szCs w:val="24"/>
          <w:lang w:eastAsia="zh-CN"/>
        </w:rPr>
        <w:t>监</w:t>
      </w:r>
      <w:r>
        <w:rPr>
          <w:rFonts w:hint="default" w:ascii="Times New Roman" w:hAnsi="Times New Roman" w:eastAsia="宋体" w:cs="Times New Roman"/>
          <w:color w:val="000000"/>
          <w:sz w:val="24"/>
          <w:szCs w:val="24"/>
        </w:rPr>
        <w:t>测。监测期间，</w:t>
      </w:r>
      <w:r>
        <w:rPr>
          <w:rFonts w:hint="default" w:ascii="Times New Roman" w:hAnsi="Times New Roman" w:eastAsia="宋体" w:cs="Times New Roman"/>
          <w:color w:val="000000"/>
          <w:sz w:val="24"/>
          <w:szCs w:val="24"/>
          <w:lang w:eastAsia="zh-CN"/>
        </w:rPr>
        <w:t>经核实</w:t>
      </w:r>
      <w:r>
        <w:rPr>
          <w:rFonts w:hint="default" w:ascii="Times New Roman" w:hAnsi="Times New Roman" w:cs="Times New Roman"/>
          <w:color w:val="000000"/>
          <w:sz w:val="24"/>
          <w:szCs w:val="24"/>
          <w:lang w:eastAsia="zh-CN"/>
        </w:rPr>
        <w:t>产品生产</w:t>
      </w:r>
      <w:r>
        <w:rPr>
          <w:rFonts w:hint="default" w:ascii="Times New Roman" w:hAnsi="Times New Roman" w:eastAsia="宋体" w:cs="Times New Roman"/>
          <w:color w:val="000000"/>
          <w:sz w:val="24"/>
          <w:szCs w:val="24"/>
          <w:lang w:eastAsia="zh-CN"/>
        </w:rPr>
        <w:t>情况，经计算</w:t>
      </w:r>
      <w:r>
        <w:rPr>
          <w:rFonts w:hint="default" w:ascii="Times New Roman" w:hAnsi="Times New Roman" w:eastAsia="宋体" w:cs="Times New Roman"/>
          <w:color w:val="auto"/>
          <w:sz w:val="24"/>
          <w:szCs w:val="24"/>
        </w:rPr>
        <w:t>生产负荷</w:t>
      </w:r>
      <w:r>
        <w:rPr>
          <w:rFonts w:hint="default" w:ascii="Times New Roman" w:hAnsi="Times New Roman" w:eastAsia="宋体" w:cs="Times New Roman"/>
          <w:color w:val="auto"/>
          <w:sz w:val="24"/>
          <w:szCs w:val="24"/>
          <w:lang w:eastAsia="zh-CN"/>
        </w:rPr>
        <w:t>为</w:t>
      </w:r>
      <w:r>
        <w:rPr>
          <w:rFonts w:hint="eastAsia" w:ascii="Times New Roman" w:hAnsi="Times New Roman" w:cs="Times New Roman"/>
          <w:color w:val="auto"/>
          <w:sz w:val="24"/>
          <w:szCs w:val="24"/>
          <w:lang w:val="en-US" w:eastAsia="zh-CN"/>
        </w:rPr>
        <w:t>80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000000"/>
          <w:sz w:val="24"/>
          <w:szCs w:val="24"/>
        </w:rPr>
        <w:t>满足环保验收检测技术要求。</w:t>
      </w:r>
    </w:p>
    <w:p>
      <w:pPr>
        <w:pStyle w:val="6"/>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rPr>
          <w:rFonts w:hint="default" w:ascii="Times New Roman" w:hAnsi="Times New Roman" w:eastAsia="宋体" w:cs="Times New Roman"/>
        </w:rPr>
      </w:pPr>
      <w:bookmarkStart w:id="198" w:name="_Toc28206"/>
      <w:bookmarkStart w:id="199" w:name="_Toc11783"/>
      <w:bookmarkStart w:id="200" w:name="_Toc7977"/>
      <w:bookmarkStart w:id="201" w:name="_Toc3129"/>
      <w:r>
        <w:rPr>
          <w:rFonts w:hint="default" w:ascii="Times New Roman" w:hAnsi="Times New Roman" w:eastAsia="宋体" w:cs="Times New Roman"/>
        </w:rPr>
        <w:t>6.1 质量保障体系</w:t>
      </w:r>
      <w:bookmarkEnd w:id="198"/>
      <w:bookmarkEnd w:id="199"/>
      <w:bookmarkEnd w:id="200"/>
      <w:bookmarkEnd w:id="201"/>
    </w:p>
    <w:p>
      <w:pPr>
        <w:spacing w:line="440" w:lineRule="atLeast"/>
        <w:ind w:firstLine="480" w:firstLineChars="200"/>
        <w:rPr>
          <w:rFonts w:hint="default" w:ascii="Times New Roman" w:hAnsi="Times New Roman" w:eastAsia="宋体" w:cs="Times New Roman"/>
          <w:sz w:val="24"/>
        </w:rPr>
      </w:pPr>
      <w:bookmarkStart w:id="202"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spacing w:line="44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spacing w:line="44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（3）废气采样前对仪器流量计进行校准，并检查气密性；采样和分析过程严格按照GB16297-1996和《空气和废气监测分析方法》（第四版）进行。</w:t>
      </w:r>
    </w:p>
    <w:p>
      <w:pPr>
        <w:spacing w:line="44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spacing w:line="44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）检测数据严格执行三级审核制度。</w:t>
      </w:r>
      <w:bookmarkEnd w:id="202"/>
    </w:p>
    <w:p>
      <w:pPr>
        <w:pStyle w:val="6"/>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rPr>
          <w:rFonts w:hint="default" w:ascii="Times New Roman" w:hAnsi="Times New Roman" w:eastAsia="宋体" w:cs="Times New Roman"/>
        </w:rPr>
      </w:pPr>
      <w:bookmarkStart w:id="203" w:name="_Toc24452"/>
      <w:bookmarkStart w:id="204" w:name="_Toc1077"/>
      <w:bookmarkStart w:id="205" w:name="_Toc3676"/>
      <w:bookmarkStart w:id="206" w:name="_Toc8128"/>
      <w:r>
        <w:rPr>
          <w:rFonts w:hint="default" w:ascii="Times New Roman" w:hAnsi="Times New Roman" w:eastAsia="宋体" w:cs="Times New Roman"/>
        </w:rPr>
        <w:t>6.2 检测分析方法</w:t>
      </w:r>
      <w:bookmarkEnd w:id="203"/>
      <w:bookmarkEnd w:id="204"/>
      <w:bookmarkEnd w:id="205"/>
      <w:bookmarkEnd w:id="206"/>
    </w:p>
    <w:p>
      <w:pPr>
        <w:pStyle w:val="7"/>
        <w:keepNext w:val="0"/>
        <w:keepLines w:val="0"/>
        <w:pageBreakBefore w:val="0"/>
        <w:widowControl w:val="0"/>
        <w:kinsoku/>
        <w:wordWrap/>
        <w:overflowPunct/>
        <w:topLinePunct w:val="0"/>
        <w:autoSpaceDE/>
        <w:autoSpaceDN/>
        <w:bidi w:val="0"/>
        <w:adjustRightInd/>
        <w:snapToGrid/>
        <w:spacing w:after="157" w:afterLines="50" w:line="480" w:lineRule="atLeast"/>
        <w:ind w:left="0" w:leftChars="0" w:right="0" w:rightChars="0" w:firstLine="0" w:firstLineChars="0"/>
        <w:jc w:val="both"/>
        <w:textAlignment w:val="auto"/>
        <w:outlineLvl w:val="2"/>
        <w:rPr>
          <w:rFonts w:hint="default" w:ascii="Times New Roman" w:hAnsi="Times New Roman" w:eastAsia="宋体" w:cs="Times New Roman"/>
        </w:rPr>
      </w:pPr>
      <w:bookmarkStart w:id="207" w:name="_Toc25471"/>
      <w:bookmarkStart w:id="208" w:name="_Toc4984"/>
      <w:bookmarkStart w:id="209" w:name="_Toc11987"/>
      <w:bookmarkStart w:id="210" w:name="_Toc32561"/>
      <w:bookmarkStart w:id="211" w:name="_Toc6111"/>
      <w:bookmarkStart w:id="212" w:name="_Toc497001482"/>
      <w:r>
        <w:rPr>
          <w:rFonts w:hint="default" w:ascii="Times New Roman" w:hAnsi="Times New Roman" w:eastAsia="宋体" w:cs="Times New Roman"/>
        </w:rPr>
        <w:t>6.2.1 检测点位、项目及频次</w:t>
      </w:r>
      <w:bookmarkEnd w:id="207"/>
      <w:bookmarkEnd w:id="208"/>
      <w:bookmarkEnd w:id="209"/>
      <w:bookmarkEnd w:id="210"/>
      <w:bookmarkEnd w:id="211"/>
      <w:bookmarkEnd w:id="212"/>
    </w:p>
    <w:p>
      <w:pPr>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①废气排放检测</w:t>
      </w:r>
    </w:p>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cs="Times New Roman"/>
          <w:b/>
          <w:sz w:val="24"/>
          <w:szCs w:val="24"/>
          <w:lang w:val="en-US" w:eastAsia="zh-CN"/>
        </w:rPr>
        <w:t>1</w:t>
      </w:r>
      <w:r>
        <w:rPr>
          <w:rFonts w:hint="default" w:ascii="Times New Roman" w:hAnsi="Times New Roman" w:eastAsia="宋体" w:cs="Times New Roman"/>
          <w:b/>
          <w:sz w:val="24"/>
          <w:szCs w:val="24"/>
        </w:rPr>
        <w:t xml:space="preserve">  废气检测点位、项目及频次</w:t>
      </w:r>
    </w:p>
    <w:tbl>
      <w:tblPr>
        <w:tblStyle w:val="22"/>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1"/>
        <w:gridCol w:w="3805"/>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941"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检测位置</w:t>
            </w:r>
          </w:p>
        </w:tc>
        <w:tc>
          <w:tcPr>
            <w:tcW w:w="380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检测内容</w:t>
            </w:r>
          </w:p>
        </w:tc>
        <w:tc>
          <w:tcPr>
            <w:tcW w:w="178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941"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塑化工序废气处理设施进口</w:t>
            </w:r>
          </w:p>
        </w:tc>
        <w:tc>
          <w:tcPr>
            <w:tcW w:w="380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eastAsia="zh-CN"/>
              </w:rPr>
              <w:t>非甲烷总烃（以碳计）</w:t>
            </w:r>
          </w:p>
        </w:tc>
        <w:tc>
          <w:tcPr>
            <w:tcW w:w="178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每天检测</w:t>
            </w:r>
            <w:r>
              <w:rPr>
                <w:rFonts w:hint="eastAsia" w:ascii="Times New Roman" w:hAnsi="Times New Roman" w:eastAsia="宋体" w:cs="Times New Roman"/>
                <w:color w:val="auto"/>
                <w:spacing w:val="0"/>
                <w:sz w:val="21"/>
                <w:szCs w:val="21"/>
                <w:lang w:val="en-US" w:eastAsia="zh-CN"/>
              </w:rPr>
              <w:t>3</w:t>
            </w:r>
            <w:r>
              <w:rPr>
                <w:rFonts w:hint="default" w:ascii="Times New Roman" w:hAnsi="Times New Roman" w:eastAsia="宋体" w:cs="Times New Roman"/>
                <w:color w:val="auto"/>
                <w:spacing w:val="0"/>
                <w:sz w:val="21"/>
                <w:szCs w:val="21"/>
                <w:lang w:val="en-US" w:eastAsia="zh-CN"/>
              </w:rPr>
              <w:t>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检测</w:t>
            </w:r>
            <w:r>
              <w:rPr>
                <w:rFonts w:hint="eastAsia" w:ascii="Times New Roman" w:hAnsi="Times New Roman" w:eastAsia="宋体" w:cs="Times New Roman"/>
                <w:color w:val="auto"/>
                <w:spacing w:val="0"/>
                <w:sz w:val="21"/>
                <w:szCs w:val="21"/>
                <w:lang w:val="en-US" w:eastAsia="zh-CN"/>
              </w:rPr>
              <w:t>2</w:t>
            </w:r>
            <w:r>
              <w:rPr>
                <w:rFonts w:hint="default" w:ascii="Times New Roman" w:hAnsi="Times New Roman" w:eastAsia="宋体" w:cs="Times New Roman"/>
                <w:color w:val="auto"/>
                <w:spacing w:val="0"/>
                <w:sz w:val="21"/>
                <w:szCs w:val="21"/>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941"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塑化工序废气处理设施出口</w:t>
            </w:r>
          </w:p>
        </w:tc>
        <w:tc>
          <w:tcPr>
            <w:tcW w:w="380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eastAsia="zh-CN"/>
              </w:rPr>
              <w:t>非甲烷总烃（以碳计）、氯化氢、氯乙烯</w:t>
            </w:r>
          </w:p>
        </w:tc>
        <w:tc>
          <w:tcPr>
            <w:tcW w:w="178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每天检测</w:t>
            </w:r>
            <w:r>
              <w:rPr>
                <w:rFonts w:hint="eastAsia" w:ascii="Times New Roman" w:hAnsi="Times New Roman" w:eastAsia="宋体" w:cs="Times New Roman"/>
                <w:color w:val="auto"/>
                <w:spacing w:val="0"/>
                <w:sz w:val="21"/>
                <w:szCs w:val="21"/>
                <w:lang w:val="en-US" w:eastAsia="zh-CN"/>
              </w:rPr>
              <w:t>3</w:t>
            </w:r>
            <w:r>
              <w:rPr>
                <w:rFonts w:hint="default" w:ascii="Times New Roman" w:hAnsi="Times New Roman" w:eastAsia="宋体" w:cs="Times New Roman"/>
                <w:color w:val="auto"/>
                <w:spacing w:val="0"/>
                <w:sz w:val="21"/>
                <w:szCs w:val="21"/>
                <w:lang w:val="en-US" w:eastAsia="zh-CN"/>
              </w:rPr>
              <w:t>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检测</w:t>
            </w:r>
            <w:r>
              <w:rPr>
                <w:rFonts w:hint="eastAsia" w:ascii="Times New Roman" w:hAnsi="Times New Roman" w:eastAsia="宋体" w:cs="Times New Roman"/>
                <w:color w:val="auto"/>
                <w:spacing w:val="0"/>
                <w:sz w:val="21"/>
                <w:szCs w:val="21"/>
                <w:lang w:val="en-US" w:eastAsia="zh-CN"/>
              </w:rPr>
              <w:t>2</w:t>
            </w:r>
            <w:r>
              <w:rPr>
                <w:rFonts w:hint="default" w:ascii="Times New Roman" w:hAnsi="Times New Roman" w:eastAsia="宋体" w:cs="Times New Roman"/>
                <w:color w:val="auto"/>
                <w:spacing w:val="0"/>
                <w:sz w:val="21"/>
                <w:szCs w:val="21"/>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941"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排放源</w:t>
            </w:r>
            <w:r>
              <w:rPr>
                <w:rFonts w:hint="eastAsia" w:ascii="Times New Roman" w:hAnsi="Times New Roman" w:eastAsia="宋体" w:cs="Times New Roman"/>
                <w:color w:val="auto"/>
                <w:spacing w:val="0"/>
                <w:sz w:val="21"/>
                <w:szCs w:val="21"/>
                <w:lang w:eastAsia="zh-CN"/>
              </w:rPr>
              <w:t>厂界外</w:t>
            </w:r>
            <w:r>
              <w:rPr>
                <w:rFonts w:hint="default" w:ascii="Times New Roman" w:hAnsi="Times New Roman" w:eastAsia="宋体" w:cs="Times New Roman"/>
                <w:color w:val="auto"/>
                <w:spacing w:val="0"/>
                <w:sz w:val="21"/>
                <w:szCs w:val="21"/>
                <w:lang w:eastAsia="zh-CN"/>
              </w:rPr>
              <w:t>下风向设置</w:t>
            </w:r>
            <w:r>
              <w:rPr>
                <w:rFonts w:hint="default" w:ascii="Times New Roman" w:hAnsi="Times New Roman" w:eastAsia="宋体" w:cs="Times New Roman"/>
                <w:color w:val="auto"/>
                <w:spacing w:val="0"/>
                <w:sz w:val="21"/>
                <w:szCs w:val="21"/>
                <w:lang w:val="en-US" w:eastAsia="zh-CN"/>
              </w:rPr>
              <w:t>3个</w:t>
            </w:r>
            <w:r>
              <w:rPr>
                <w:rFonts w:hint="default" w:ascii="Times New Roman" w:hAnsi="Times New Roman" w:eastAsia="宋体" w:cs="Times New Roman"/>
                <w:color w:val="auto"/>
                <w:spacing w:val="0"/>
                <w:sz w:val="21"/>
                <w:szCs w:val="21"/>
                <w:lang w:eastAsia="zh-CN"/>
              </w:rPr>
              <w:t>检测点</w:t>
            </w:r>
          </w:p>
        </w:tc>
        <w:tc>
          <w:tcPr>
            <w:tcW w:w="380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eastAsia="zh-CN"/>
              </w:rPr>
              <w:t>非甲烷总烃（以碳计）、氯化氢、氯乙烯</w:t>
            </w:r>
          </w:p>
        </w:tc>
        <w:tc>
          <w:tcPr>
            <w:tcW w:w="178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每天检测</w:t>
            </w:r>
            <w:r>
              <w:rPr>
                <w:rFonts w:hint="eastAsia" w:ascii="Times New Roman" w:hAnsi="Times New Roman" w:eastAsia="宋体" w:cs="Times New Roman"/>
                <w:color w:val="auto"/>
                <w:spacing w:val="0"/>
                <w:sz w:val="21"/>
                <w:szCs w:val="21"/>
                <w:lang w:eastAsia="zh-CN"/>
              </w:rPr>
              <w:t>3</w:t>
            </w:r>
            <w:r>
              <w:rPr>
                <w:rFonts w:hint="default" w:ascii="Times New Roman" w:hAnsi="Times New Roman" w:eastAsia="宋体" w:cs="Times New Roman"/>
                <w:color w:val="auto"/>
                <w:spacing w:val="0"/>
                <w:sz w:val="21"/>
                <w:szCs w:val="21"/>
                <w:lang w:eastAsia="zh-CN"/>
              </w:rPr>
              <w:t>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检测</w:t>
            </w:r>
            <w:r>
              <w:rPr>
                <w:rFonts w:hint="eastAsia" w:ascii="Times New Roman" w:hAnsi="Times New Roman" w:eastAsia="宋体" w:cs="Times New Roman"/>
                <w:color w:val="auto"/>
                <w:spacing w:val="0"/>
                <w:sz w:val="21"/>
                <w:szCs w:val="21"/>
                <w:lang w:val="en-US" w:eastAsia="zh-CN"/>
              </w:rPr>
              <w:t>2</w:t>
            </w:r>
            <w:r>
              <w:rPr>
                <w:rFonts w:hint="default" w:ascii="Times New Roman" w:hAnsi="Times New Roman" w:eastAsia="宋体" w:cs="Times New Roman"/>
                <w:color w:val="auto"/>
                <w:spacing w:val="0"/>
                <w:sz w:val="21"/>
                <w:szCs w:val="21"/>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941"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spacing w:val="0"/>
                <w:sz w:val="21"/>
                <w:szCs w:val="21"/>
                <w:lang w:val="en-US" w:eastAsia="zh-CN"/>
              </w:rPr>
              <w:t>生产车间北门口</w:t>
            </w:r>
            <w:r>
              <w:rPr>
                <w:rFonts w:hint="eastAsia" w:ascii="Times New Roman" w:hAnsi="Times New Roman" w:eastAsia="宋体" w:cs="Times New Roman"/>
                <w:color w:val="auto"/>
                <w:spacing w:val="0"/>
                <w:sz w:val="21"/>
                <w:szCs w:val="21"/>
                <w:lang w:eastAsia="zh-CN"/>
              </w:rPr>
              <w:t>设置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1个检测点位</w:t>
            </w:r>
          </w:p>
        </w:tc>
        <w:tc>
          <w:tcPr>
            <w:tcW w:w="380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eastAsia="zh-CN"/>
              </w:rPr>
              <w:t>非甲烷总烃（以碳计）</w:t>
            </w:r>
          </w:p>
        </w:tc>
        <w:tc>
          <w:tcPr>
            <w:tcW w:w="178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每天检测</w:t>
            </w:r>
            <w:r>
              <w:rPr>
                <w:rFonts w:hint="eastAsia" w:ascii="Times New Roman" w:hAnsi="Times New Roman" w:eastAsia="宋体" w:cs="Times New Roman"/>
                <w:color w:val="auto"/>
                <w:spacing w:val="0"/>
                <w:sz w:val="21"/>
                <w:szCs w:val="21"/>
                <w:lang w:val="en-US" w:eastAsia="zh-CN"/>
              </w:rPr>
              <w:t>3</w:t>
            </w:r>
            <w:r>
              <w:rPr>
                <w:rFonts w:hint="default" w:ascii="Times New Roman" w:hAnsi="Times New Roman" w:eastAsia="宋体" w:cs="Times New Roman"/>
                <w:color w:val="auto"/>
                <w:spacing w:val="0"/>
                <w:sz w:val="21"/>
                <w:szCs w:val="21"/>
                <w:lang w:val="en-US" w:eastAsia="zh-CN"/>
              </w:rPr>
              <w:t>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检测</w:t>
            </w:r>
            <w:r>
              <w:rPr>
                <w:rFonts w:hint="eastAsia" w:ascii="Times New Roman" w:hAnsi="Times New Roman" w:eastAsia="宋体" w:cs="Times New Roman"/>
                <w:color w:val="auto"/>
                <w:spacing w:val="0"/>
                <w:sz w:val="21"/>
                <w:szCs w:val="21"/>
                <w:lang w:val="en-US" w:eastAsia="zh-CN"/>
              </w:rPr>
              <w:t>2</w:t>
            </w:r>
            <w:r>
              <w:rPr>
                <w:rFonts w:hint="default" w:ascii="Times New Roman" w:hAnsi="Times New Roman" w:eastAsia="宋体" w:cs="Times New Roman"/>
                <w:color w:val="auto"/>
                <w:spacing w:val="0"/>
                <w:sz w:val="21"/>
                <w:szCs w:val="21"/>
                <w:lang w:val="en-US" w:eastAsia="zh-CN"/>
              </w:rPr>
              <w:t>天</w:t>
            </w:r>
          </w:p>
        </w:tc>
      </w:tr>
    </w:tbl>
    <w:p>
      <w:pPr>
        <w:rPr>
          <w:rFonts w:hint="default" w:ascii="Times New Roman" w:hAnsi="Times New Roman" w:eastAsia="宋体" w:cs="Times New Roman"/>
          <w:sz w:val="24"/>
        </w:rPr>
      </w:pPr>
      <w:r>
        <w:rPr>
          <w:rFonts w:hint="default" w:ascii="Times New Roman" w:hAnsi="Times New Roman" w:eastAsia="宋体" w:cs="Times New Roman"/>
          <w:sz w:val="24"/>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atLeast"/>
        <w:ind w:left="0" w:leftChars="0" w:right="0" w:rightChars="0" w:firstLine="480" w:firstLineChars="200"/>
        <w:jc w:val="both"/>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②噪声检测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cs="Times New Roman"/>
          <w:b/>
          <w:sz w:val="24"/>
          <w:lang w:val="en-US" w:eastAsia="zh-CN"/>
        </w:rPr>
        <w:t>2</w:t>
      </w:r>
      <w:r>
        <w:rPr>
          <w:rFonts w:hint="default" w:ascii="Times New Roman" w:hAnsi="Times New Roman" w:eastAsia="宋体" w:cs="Times New Roman"/>
          <w:b/>
          <w:sz w:val="24"/>
        </w:rPr>
        <w:t xml:space="preserve">  噪声检测点位、项目及频次</w:t>
      </w:r>
    </w:p>
    <w:tbl>
      <w:tblPr>
        <w:tblStyle w:val="22"/>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7"/>
        <w:gridCol w:w="2494"/>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检测位置</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检测内容</w:t>
            </w:r>
          </w:p>
        </w:tc>
        <w:tc>
          <w:tcPr>
            <w:tcW w:w="259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厂界四周每个方向各</w:t>
            </w:r>
            <w:r>
              <w:rPr>
                <w:rFonts w:hint="default" w:ascii="Times New Roman" w:hAnsi="Times New Roman" w:cs="Times New Roman"/>
                <w:lang w:eastAsia="zh-CN"/>
              </w:rPr>
              <w:t>设置</w:t>
            </w:r>
            <w:r>
              <w:rPr>
                <w:rFonts w:hint="default" w:ascii="Times New Roman" w:hAnsi="Times New Roman" w:eastAsia="宋体" w:cs="Times New Roman"/>
              </w:rPr>
              <w:t>1个</w:t>
            </w:r>
            <w:r>
              <w:rPr>
                <w:rFonts w:hint="default" w:ascii="Times New Roman" w:hAnsi="Times New Roman" w:eastAsia="宋体" w:cs="Times New Roman"/>
                <w:lang w:eastAsia="zh-CN"/>
              </w:rPr>
              <w:t>检</w:t>
            </w:r>
            <w:r>
              <w:rPr>
                <w:rFonts w:hint="default" w:ascii="Times New Roman" w:hAnsi="Times New Roman" w:eastAsia="宋体" w:cs="Times New Roman"/>
              </w:rPr>
              <w:t>测点</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连续等效A声级，Leq(A)</w:t>
            </w:r>
          </w:p>
        </w:tc>
        <w:tc>
          <w:tcPr>
            <w:tcW w:w="259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107" w:leftChars="-51" w:right="-120" w:rightChars="-57"/>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检测2天，昼间、夜间各检测1次</w:t>
            </w:r>
          </w:p>
        </w:tc>
      </w:tr>
    </w:tbl>
    <w:p>
      <w:pPr>
        <w:pStyle w:val="7"/>
        <w:keepNext w:val="0"/>
        <w:keepLines w:val="0"/>
        <w:pageBreakBefore w:val="0"/>
        <w:widowControl w:val="0"/>
        <w:kinsoku/>
        <w:wordWrap/>
        <w:overflowPunct/>
        <w:topLinePunct w:val="0"/>
        <w:autoSpaceDE/>
        <w:autoSpaceDN/>
        <w:bidi w:val="0"/>
        <w:adjustRightInd/>
        <w:snapToGrid/>
        <w:spacing w:before="157" w:beforeLines="50" w:after="157" w:afterLines="50" w:line="480" w:lineRule="atLeast"/>
        <w:ind w:left="0" w:leftChars="0" w:right="0" w:rightChars="0" w:firstLine="0" w:firstLineChars="0"/>
        <w:jc w:val="both"/>
        <w:textAlignment w:val="auto"/>
        <w:outlineLvl w:val="2"/>
        <w:rPr>
          <w:rFonts w:hint="default" w:ascii="Times New Roman" w:hAnsi="Times New Roman" w:eastAsia="宋体" w:cs="Times New Roman"/>
        </w:rPr>
      </w:pPr>
      <w:bookmarkStart w:id="213" w:name="_Toc26262"/>
      <w:bookmarkStart w:id="214" w:name="_Toc8755"/>
      <w:bookmarkStart w:id="215" w:name="_Toc17272"/>
      <w:bookmarkStart w:id="216" w:name="_Toc497001483"/>
      <w:bookmarkStart w:id="217" w:name="_Toc20260"/>
      <w:bookmarkStart w:id="218" w:name="_Toc9397"/>
      <w:r>
        <w:rPr>
          <w:rFonts w:hint="default" w:ascii="Times New Roman" w:hAnsi="Times New Roman" w:eastAsia="宋体" w:cs="Times New Roman"/>
        </w:rPr>
        <w:t>6.2.2检测分析方法</w:t>
      </w:r>
      <w:bookmarkEnd w:id="213"/>
      <w:bookmarkEnd w:id="214"/>
      <w:bookmarkEnd w:id="215"/>
      <w:bookmarkEnd w:id="216"/>
      <w:bookmarkEnd w:id="217"/>
      <w:bookmarkEnd w:id="218"/>
    </w:p>
    <w:p>
      <w:pPr>
        <w:spacing w:line="400" w:lineRule="atLeast"/>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default"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废气检测项目分析方法及所用仪器</w:t>
      </w:r>
    </w:p>
    <w:tbl>
      <w:tblPr>
        <w:tblStyle w:val="2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3111"/>
        <w:gridCol w:w="1243"/>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62" w:type="dxa"/>
            <w:tcBorders>
              <w:tl2br w:val="nil"/>
              <w:tr2bl w:val="nil"/>
            </w:tcBorders>
            <w:tcMar>
              <w:top w:w="0" w:type="dxa"/>
              <w:left w:w="0" w:type="dxa"/>
              <w:bottom w:w="0" w:type="dxa"/>
              <w:right w:w="0" w:type="dxa"/>
            </w:tcMar>
            <w:vAlign w:val="center"/>
          </w:tcPr>
          <w:p>
            <w:pPr>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3111" w:type="dxa"/>
            <w:tcBorders>
              <w:tl2br w:val="nil"/>
              <w:tr2bl w:val="nil"/>
            </w:tcBorders>
            <w:tcMar>
              <w:top w:w="0" w:type="dxa"/>
              <w:left w:w="0" w:type="dxa"/>
              <w:bottom w:w="0" w:type="dxa"/>
              <w:right w:w="0" w:type="dxa"/>
            </w:tcMar>
            <w:vAlign w:val="center"/>
          </w:tcPr>
          <w:p>
            <w:pPr>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分析方法</w:t>
            </w:r>
          </w:p>
        </w:tc>
        <w:tc>
          <w:tcPr>
            <w:tcW w:w="1243" w:type="dxa"/>
            <w:tcBorders>
              <w:tl2br w:val="nil"/>
              <w:tr2bl w:val="nil"/>
            </w:tcBorders>
            <w:tcMar>
              <w:top w:w="0" w:type="dxa"/>
              <w:left w:w="0" w:type="dxa"/>
              <w:bottom w:w="0" w:type="dxa"/>
              <w:right w:w="0" w:type="dxa"/>
            </w:tcMar>
            <w:vAlign w:val="center"/>
          </w:tcPr>
          <w:p>
            <w:pPr>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检出限</w:t>
            </w:r>
          </w:p>
        </w:tc>
        <w:tc>
          <w:tcPr>
            <w:tcW w:w="2988" w:type="dxa"/>
            <w:tcBorders>
              <w:tl2br w:val="nil"/>
              <w:tr2bl w:val="nil"/>
            </w:tcBorders>
            <w:tcMar>
              <w:top w:w="0" w:type="dxa"/>
              <w:left w:w="0" w:type="dxa"/>
              <w:bottom w:w="0" w:type="dxa"/>
              <w:right w:w="0" w:type="dxa"/>
            </w:tcMar>
            <w:vAlign w:val="center"/>
          </w:tcPr>
          <w:p>
            <w:pPr>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2" w:type="dxa"/>
            <w:vMerge w:val="restart"/>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color w:val="auto"/>
                <w:spacing w:val="0"/>
                <w:sz w:val="21"/>
                <w:szCs w:val="21"/>
                <w:lang w:val="en-US" w:eastAsia="zh-CN"/>
              </w:rPr>
            </w:pPr>
            <w:r>
              <w:rPr>
                <w:rFonts w:hint="eastAsia" w:eastAsia="宋体" w:cs="Times New Roman"/>
                <w:color w:val="auto"/>
                <w:spacing w:val="0"/>
                <w:sz w:val="21"/>
                <w:szCs w:val="21"/>
                <w:lang w:val="en-US" w:eastAsia="zh-CN"/>
              </w:rPr>
              <w:t>非甲烷总烃（以碳计）</w:t>
            </w:r>
          </w:p>
        </w:tc>
        <w:tc>
          <w:tcPr>
            <w:tcW w:w="3111" w:type="dxa"/>
            <w:tcBorders>
              <w:tl2br w:val="nil"/>
              <w:tr2bl w:val="nil"/>
            </w:tcBorders>
            <w:tcMar>
              <w:top w:w="0" w:type="dxa"/>
              <w:left w:w="0" w:type="dxa"/>
              <w:bottom w:w="0" w:type="dxa"/>
              <w:right w:w="0" w:type="dxa"/>
            </w:tcMar>
            <w:vAlign w:val="center"/>
          </w:tcPr>
          <w:p>
            <w:pPr>
              <w:adjustRightInd w:val="0"/>
              <w:spacing w:line="240" w:lineRule="exact"/>
              <w:jc w:val="center"/>
              <w:rPr>
                <w:rFonts w:hint="eastAsia" w:ascii="Times New Roman" w:hAnsi="Times New Roman" w:eastAsia="宋体" w:cs="Times New Roman"/>
                <w:kern w:val="2"/>
                <w:sz w:val="21"/>
                <w:szCs w:val="21"/>
                <w:lang w:val="en-US" w:eastAsia="zh-CN" w:bidi="ar-SA"/>
              </w:rPr>
            </w:pPr>
            <w:r>
              <w:rPr>
                <w:rFonts w:hint="eastAsia" w:cstheme="minorEastAsia"/>
                <w:kern w:val="0"/>
                <w:sz w:val="21"/>
                <w:szCs w:val="21"/>
              </w:rPr>
              <w:t xml:space="preserve">《固定污染源废气 </w:t>
            </w:r>
            <w:r>
              <w:rPr>
                <w:rFonts w:hint="eastAsia" w:cstheme="minorEastAsia"/>
                <w:kern w:val="0"/>
                <w:sz w:val="21"/>
                <w:szCs w:val="21"/>
                <w:lang w:eastAsia="zh-CN"/>
              </w:rPr>
              <w:t>总烃、甲烷和非甲烷总烃的测定</w:t>
            </w:r>
            <w:r>
              <w:rPr>
                <w:rFonts w:hint="eastAsia" w:cstheme="minorEastAsia"/>
                <w:kern w:val="0"/>
                <w:sz w:val="21"/>
                <w:szCs w:val="21"/>
                <w:lang w:val="en-US" w:eastAsia="zh-CN"/>
              </w:rPr>
              <w:t xml:space="preserve"> 气相色谱法</w:t>
            </w:r>
            <w:r>
              <w:rPr>
                <w:rFonts w:hint="eastAsia" w:cstheme="minorEastAsia"/>
                <w:kern w:val="0"/>
                <w:sz w:val="21"/>
                <w:szCs w:val="21"/>
              </w:rPr>
              <w:t xml:space="preserve">》 HJ </w:t>
            </w:r>
            <w:r>
              <w:rPr>
                <w:rFonts w:hint="eastAsia" w:cstheme="minorEastAsia"/>
                <w:kern w:val="0"/>
                <w:sz w:val="21"/>
                <w:szCs w:val="21"/>
                <w:lang w:val="en-US" w:eastAsia="zh-CN"/>
              </w:rPr>
              <w:t>38</w:t>
            </w:r>
            <w:r>
              <w:rPr>
                <w:rFonts w:hint="eastAsia" w:cstheme="minorEastAsia"/>
                <w:kern w:val="0"/>
                <w:sz w:val="21"/>
                <w:szCs w:val="21"/>
              </w:rPr>
              <w:t>-2017</w:t>
            </w:r>
          </w:p>
        </w:tc>
        <w:tc>
          <w:tcPr>
            <w:tcW w:w="1243" w:type="dxa"/>
            <w:tcBorders>
              <w:tl2br w:val="nil"/>
              <w:tr2bl w:val="nil"/>
            </w:tcBorders>
            <w:tcMar>
              <w:top w:w="0" w:type="dxa"/>
              <w:left w:w="0" w:type="dxa"/>
              <w:bottom w:w="0" w:type="dxa"/>
              <w:right w:w="0" w:type="dxa"/>
            </w:tcMar>
            <w:vAlign w:val="center"/>
          </w:tcPr>
          <w:p>
            <w:pPr>
              <w:widowControl/>
              <w:adjustRightInd w:val="0"/>
              <w:spacing w:line="240" w:lineRule="exact"/>
              <w:jc w:val="center"/>
              <w:textAlignment w:val="center"/>
              <w:rPr>
                <w:rFonts w:hint="default" w:ascii="Times New Roman" w:hAnsi="Times New Roman" w:eastAsia="宋体" w:cs="Times New Roman"/>
                <w:kern w:val="2"/>
                <w:sz w:val="21"/>
                <w:szCs w:val="21"/>
                <w:lang w:val="en-US" w:eastAsia="zh-CN" w:bidi="ar-SA"/>
              </w:rPr>
            </w:pPr>
            <w:r>
              <w:rPr>
                <w:rFonts w:hint="eastAsia"/>
                <w:bCs/>
                <w:kern w:val="0"/>
                <w:sz w:val="21"/>
                <w:szCs w:val="21"/>
                <w:lang w:val="en-US" w:eastAsia="zh-CN"/>
              </w:rPr>
              <w:t>0.07</w:t>
            </w:r>
            <w:r>
              <w:rPr>
                <w:rFonts w:hint="eastAsia"/>
                <w:bCs/>
                <w:kern w:val="0"/>
                <w:sz w:val="21"/>
                <w:szCs w:val="21"/>
              </w:rPr>
              <w:t>mg/m</w:t>
            </w:r>
            <w:r>
              <w:rPr>
                <w:rFonts w:hint="eastAsia"/>
                <w:bCs/>
                <w:kern w:val="0"/>
                <w:sz w:val="21"/>
                <w:szCs w:val="21"/>
                <w:vertAlign w:val="superscript"/>
              </w:rPr>
              <w:t>3</w:t>
            </w:r>
          </w:p>
        </w:tc>
        <w:tc>
          <w:tcPr>
            <w:tcW w:w="2988" w:type="dxa"/>
            <w:tcBorders>
              <w:tl2br w:val="nil"/>
              <w:tr2bl w:val="nil"/>
            </w:tcBorders>
            <w:tcMar>
              <w:top w:w="0" w:type="dxa"/>
              <w:left w:w="0" w:type="dxa"/>
              <w:bottom w:w="0" w:type="dxa"/>
              <w:right w:w="0" w:type="dxa"/>
            </w:tcMar>
            <w:vAlign w:val="center"/>
          </w:tcPr>
          <w:p>
            <w:pPr>
              <w:adjustRightInd w:val="0"/>
              <w:spacing w:line="240" w:lineRule="exact"/>
              <w:jc w:val="center"/>
              <w:rPr>
                <w:rFonts w:hint="eastAsia" w:cstheme="minorEastAsia"/>
                <w:kern w:val="0"/>
                <w:sz w:val="21"/>
                <w:szCs w:val="21"/>
                <w:highlight w:val="none"/>
              </w:rPr>
            </w:pPr>
            <w:r>
              <w:rPr>
                <w:rFonts w:hint="eastAsia" w:cstheme="minorEastAsia"/>
                <w:kern w:val="0"/>
                <w:sz w:val="21"/>
                <w:szCs w:val="21"/>
                <w:highlight w:val="none"/>
              </w:rPr>
              <w:t>GH-60E自动烟尘烟气测试仪（</w:t>
            </w:r>
            <w:r>
              <w:rPr>
                <w:rFonts w:hint="eastAsia" w:cstheme="minorEastAsia"/>
                <w:kern w:val="0"/>
                <w:sz w:val="21"/>
                <w:szCs w:val="21"/>
                <w:highlight w:val="none"/>
                <w:lang w:eastAsia="zh-CN"/>
              </w:rPr>
              <w:t>SB</w:t>
            </w:r>
            <w:r>
              <w:rPr>
                <w:rFonts w:hint="eastAsia" w:cstheme="minorEastAsia"/>
                <w:kern w:val="0"/>
                <w:sz w:val="21"/>
                <w:szCs w:val="21"/>
                <w:highlight w:val="none"/>
                <w:lang w:val="en-US" w:eastAsia="zh-CN"/>
              </w:rPr>
              <w:t>51-1、5、SB84</w:t>
            </w:r>
            <w:r>
              <w:rPr>
                <w:rFonts w:hint="eastAsia" w:cstheme="minorEastAsia"/>
                <w:kern w:val="0"/>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cstheme="minorEastAsia"/>
                <w:i w:val="0"/>
                <w:color w:val="auto"/>
                <w:kern w:val="0"/>
                <w:sz w:val="21"/>
                <w:szCs w:val="21"/>
                <w:highlight w:val="none"/>
                <w:u w:val="none"/>
                <w:lang w:val="en-US" w:eastAsia="zh-CN" w:bidi="ar"/>
              </w:rPr>
            </w:pPr>
            <w:r>
              <w:rPr>
                <w:rFonts w:hint="eastAsia" w:cstheme="minorEastAsia"/>
                <w:i w:val="0"/>
                <w:color w:val="auto"/>
                <w:kern w:val="0"/>
                <w:sz w:val="21"/>
                <w:szCs w:val="21"/>
                <w:highlight w:val="none"/>
                <w:u w:val="none"/>
                <w:lang w:val="en-US" w:eastAsia="zh-CN" w:bidi="ar"/>
              </w:rPr>
              <w:t>HP-CYB-05真空采样箱</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ascii="Times New Roman" w:hAnsi="Times New Roman" w:eastAsia="宋体" w:cstheme="minorEastAsia"/>
                <w:i w:val="0"/>
                <w:color w:val="auto"/>
                <w:kern w:val="0"/>
                <w:sz w:val="21"/>
                <w:szCs w:val="21"/>
                <w:highlight w:val="none"/>
                <w:u w:val="none"/>
                <w:lang w:val="en-US" w:eastAsia="zh-CN" w:bidi="ar"/>
              </w:rPr>
            </w:pPr>
            <w:r>
              <w:rPr>
                <w:rFonts w:hint="eastAsia" w:cstheme="minorEastAsia"/>
                <w:i w:val="0"/>
                <w:color w:val="auto"/>
                <w:kern w:val="0"/>
                <w:sz w:val="21"/>
                <w:szCs w:val="21"/>
                <w:highlight w:val="none"/>
                <w:u w:val="none"/>
                <w:lang w:val="en-US" w:eastAsia="zh-CN" w:bidi="ar"/>
              </w:rPr>
              <w:t>（SB168-14、15、13）</w:t>
            </w:r>
          </w:p>
          <w:p>
            <w:pPr>
              <w:adjustRightInd w:val="0"/>
              <w:spacing w:line="240" w:lineRule="exact"/>
              <w:jc w:val="center"/>
              <w:rPr>
                <w:rFonts w:hint="eastAsia" w:ascii="Times New Roman" w:hAnsi="Times New Roman" w:eastAsia="宋体" w:cstheme="minorEastAsia"/>
                <w:i w:val="0"/>
                <w:color w:val="auto"/>
                <w:kern w:val="0"/>
                <w:sz w:val="21"/>
                <w:szCs w:val="21"/>
                <w:highlight w:val="none"/>
                <w:u w:val="none"/>
                <w:lang w:val="en-US" w:eastAsia="zh-CN" w:bidi="ar"/>
              </w:rPr>
            </w:pPr>
            <w:r>
              <w:rPr>
                <w:rFonts w:hint="eastAsia" w:ascii="Times New Roman" w:hAnsi="Times New Roman" w:eastAsia="宋体" w:cstheme="minorEastAsia"/>
                <w:i w:val="0"/>
                <w:color w:val="auto"/>
                <w:kern w:val="0"/>
                <w:sz w:val="21"/>
                <w:szCs w:val="21"/>
                <w:highlight w:val="none"/>
                <w:u w:val="none"/>
                <w:lang w:val="en-US" w:eastAsia="zh-CN" w:bidi="ar"/>
              </w:rPr>
              <w:t>GC-9790Ⅱ气相色谱仪</w:t>
            </w:r>
          </w:p>
          <w:p>
            <w:pPr>
              <w:adjustRightInd w:val="0"/>
              <w:spacing w:line="240" w:lineRule="exact"/>
              <w:jc w:val="center"/>
              <w:rPr>
                <w:rFonts w:hint="default" w:ascii="Times New Roman" w:hAnsi="Times New Roman" w:eastAsia="宋体" w:cs="Times New Roman"/>
                <w:kern w:val="2"/>
                <w:sz w:val="21"/>
                <w:szCs w:val="21"/>
                <w:highlight w:val="red"/>
                <w:lang w:val="en-US" w:eastAsia="zh-CN" w:bidi="ar-SA"/>
              </w:rPr>
            </w:pPr>
            <w:r>
              <w:rPr>
                <w:rFonts w:hint="eastAsia" w:ascii="Times New Roman" w:hAnsi="Times New Roman" w:eastAsia="宋体" w:cstheme="minorEastAsia"/>
                <w:i w:val="0"/>
                <w:color w:val="auto"/>
                <w:kern w:val="0"/>
                <w:sz w:val="21"/>
                <w:szCs w:val="21"/>
                <w:highlight w:val="none"/>
                <w:u w:val="none"/>
                <w:lang w:val="en-US" w:eastAsia="zh-CN" w:bidi="ar"/>
              </w:rPr>
              <w:t>（SB18-</w:t>
            </w:r>
            <w:r>
              <w:rPr>
                <w:rFonts w:hint="eastAsia" w:cstheme="minorEastAsia"/>
                <w:i w:val="0"/>
                <w:color w:val="auto"/>
                <w:kern w:val="0"/>
                <w:sz w:val="21"/>
                <w:szCs w:val="21"/>
                <w:highlight w:val="none"/>
                <w:u w:val="none"/>
                <w:lang w:val="en-US" w:eastAsia="zh-CN" w:bidi="ar"/>
              </w:rPr>
              <w:t>2</w:t>
            </w:r>
            <w:r>
              <w:rPr>
                <w:rFonts w:hint="eastAsia" w:ascii="Times New Roman" w:hAnsi="Times New Roman" w:eastAsia="宋体" w:cstheme="minorEastAsia"/>
                <w:i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2" w:type="dxa"/>
            <w:vMerge w:val="continue"/>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color w:val="auto"/>
                <w:spacing w:val="0"/>
                <w:sz w:val="21"/>
                <w:szCs w:val="21"/>
                <w:lang w:val="en-US" w:eastAsia="zh-CN"/>
              </w:rPr>
            </w:pPr>
          </w:p>
        </w:tc>
        <w:tc>
          <w:tcPr>
            <w:tcW w:w="3111" w:type="dxa"/>
            <w:tcBorders>
              <w:tl2br w:val="nil"/>
              <w:tr2bl w:val="nil"/>
            </w:tcBorders>
            <w:tcMar>
              <w:top w:w="0" w:type="dxa"/>
              <w:left w:w="0" w:type="dxa"/>
              <w:bottom w:w="0" w:type="dxa"/>
              <w:right w:w="0" w:type="dxa"/>
            </w:tcMar>
            <w:vAlign w:val="center"/>
          </w:tcPr>
          <w:p>
            <w:pPr>
              <w:adjustRightInd w:val="0"/>
              <w:spacing w:line="240" w:lineRule="exact"/>
              <w:jc w:val="center"/>
              <w:rPr>
                <w:rFonts w:hint="eastAsia" w:ascii="Times New Roman" w:hAnsi="Times New Roman" w:eastAsia="宋体" w:cs="Times New Roman"/>
                <w:kern w:val="2"/>
                <w:sz w:val="21"/>
                <w:szCs w:val="21"/>
                <w:lang w:val="en-US" w:eastAsia="zh-CN" w:bidi="ar-SA"/>
              </w:rPr>
            </w:pPr>
            <w:r>
              <w:rPr>
                <w:rFonts w:hint="eastAsia" w:cstheme="minorEastAsia"/>
                <w:kern w:val="0"/>
                <w:sz w:val="21"/>
                <w:szCs w:val="21"/>
              </w:rPr>
              <w:t>《环境空气 总烃、甲烷和非甲烷总烃的测定 直接进样-气相色谱法》HJ 604-2017</w:t>
            </w:r>
          </w:p>
        </w:tc>
        <w:tc>
          <w:tcPr>
            <w:tcW w:w="1243" w:type="dxa"/>
            <w:tcBorders>
              <w:tl2br w:val="nil"/>
              <w:tr2bl w:val="nil"/>
            </w:tcBorders>
            <w:tcMar>
              <w:top w:w="0" w:type="dxa"/>
              <w:left w:w="0" w:type="dxa"/>
              <w:bottom w:w="0" w:type="dxa"/>
              <w:right w:w="0" w:type="dxa"/>
            </w:tcMar>
            <w:vAlign w:val="center"/>
          </w:tcPr>
          <w:p>
            <w:pPr>
              <w:widowControl/>
              <w:adjustRightInd w:val="0"/>
              <w:spacing w:line="240" w:lineRule="exact"/>
              <w:jc w:val="center"/>
              <w:textAlignment w:val="center"/>
              <w:rPr>
                <w:rFonts w:hint="default" w:ascii="Times New Roman" w:hAnsi="Times New Roman" w:eastAsia="宋体" w:cs="Times New Roman"/>
                <w:kern w:val="2"/>
                <w:sz w:val="21"/>
                <w:szCs w:val="21"/>
                <w:lang w:val="en-US" w:eastAsia="zh-CN" w:bidi="ar-SA"/>
              </w:rPr>
            </w:pPr>
            <w:r>
              <w:rPr>
                <w:rFonts w:hint="eastAsia"/>
                <w:bCs/>
                <w:kern w:val="0"/>
                <w:sz w:val="21"/>
                <w:szCs w:val="21"/>
                <w:lang w:val="en-US" w:eastAsia="zh-CN"/>
              </w:rPr>
              <w:t>0.07mg/m</w:t>
            </w:r>
            <w:r>
              <w:rPr>
                <w:rFonts w:hint="eastAsia"/>
                <w:bCs/>
                <w:kern w:val="0"/>
                <w:sz w:val="21"/>
                <w:szCs w:val="21"/>
                <w:vertAlign w:val="superscript"/>
                <w:lang w:val="en-US" w:eastAsia="zh-CN"/>
              </w:rPr>
              <w:t>3</w:t>
            </w:r>
          </w:p>
        </w:tc>
        <w:tc>
          <w:tcPr>
            <w:tcW w:w="2988"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cstheme="minorEastAsia"/>
                <w:i w:val="0"/>
                <w:color w:val="auto"/>
                <w:kern w:val="0"/>
                <w:sz w:val="21"/>
                <w:szCs w:val="21"/>
                <w:highlight w:val="none"/>
                <w:u w:val="none"/>
                <w:lang w:val="en-US" w:eastAsia="zh-CN" w:bidi="ar"/>
              </w:rPr>
            </w:pPr>
            <w:r>
              <w:rPr>
                <w:rFonts w:hint="eastAsia" w:cstheme="minorEastAsia"/>
                <w:i w:val="0"/>
                <w:color w:val="auto"/>
                <w:kern w:val="0"/>
                <w:sz w:val="21"/>
                <w:szCs w:val="21"/>
                <w:highlight w:val="none"/>
                <w:u w:val="none"/>
                <w:lang w:val="en-US" w:eastAsia="zh-CN" w:bidi="ar"/>
              </w:rPr>
              <w:t>HP-CYB-05真空采样箱</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ascii="Times New Roman" w:hAnsi="Times New Roman" w:eastAsia="宋体" w:cstheme="minorEastAsia"/>
                <w:i w:val="0"/>
                <w:color w:val="auto"/>
                <w:kern w:val="0"/>
                <w:sz w:val="21"/>
                <w:szCs w:val="21"/>
                <w:highlight w:val="none"/>
                <w:u w:val="none"/>
                <w:lang w:val="en-US" w:eastAsia="zh-CN" w:bidi="ar"/>
              </w:rPr>
            </w:pPr>
            <w:r>
              <w:rPr>
                <w:rFonts w:hint="eastAsia" w:cstheme="minorEastAsia"/>
                <w:i w:val="0"/>
                <w:color w:val="auto"/>
                <w:kern w:val="0"/>
                <w:sz w:val="21"/>
                <w:szCs w:val="21"/>
                <w:highlight w:val="none"/>
                <w:u w:val="none"/>
                <w:lang w:val="en-US" w:eastAsia="zh-CN" w:bidi="ar"/>
              </w:rPr>
              <w:t>（SB168-14）</w:t>
            </w:r>
          </w:p>
          <w:p>
            <w:pPr>
              <w:adjustRightInd w:val="0"/>
              <w:spacing w:line="240" w:lineRule="exact"/>
              <w:jc w:val="center"/>
              <w:rPr>
                <w:rFonts w:hint="eastAsia" w:ascii="Times New Roman" w:hAnsi="Times New Roman" w:eastAsia="宋体" w:cstheme="minorEastAsia"/>
                <w:i w:val="0"/>
                <w:color w:val="auto"/>
                <w:kern w:val="0"/>
                <w:sz w:val="21"/>
                <w:szCs w:val="21"/>
                <w:highlight w:val="none"/>
                <w:u w:val="none"/>
                <w:lang w:val="en-US" w:eastAsia="zh-CN" w:bidi="ar"/>
              </w:rPr>
            </w:pPr>
            <w:r>
              <w:rPr>
                <w:rFonts w:hint="eastAsia" w:ascii="Times New Roman" w:hAnsi="Times New Roman" w:eastAsia="宋体" w:cstheme="minorEastAsia"/>
                <w:i w:val="0"/>
                <w:color w:val="auto"/>
                <w:kern w:val="0"/>
                <w:sz w:val="21"/>
                <w:szCs w:val="21"/>
                <w:highlight w:val="none"/>
                <w:u w:val="none"/>
                <w:lang w:val="en-US" w:eastAsia="zh-CN" w:bidi="ar"/>
              </w:rPr>
              <w:t>GC-9790Ⅱ气相色谱仪</w:t>
            </w:r>
          </w:p>
          <w:p>
            <w:pPr>
              <w:adjustRightInd w:val="0"/>
              <w:spacing w:line="240" w:lineRule="exact"/>
              <w:jc w:val="center"/>
              <w:rPr>
                <w:rFonts w:hint="default" w:ascii="Times New Roman" w:hAnsi="Times New Roman" w:eastAsia="宋体" w:cs="Times New Roman"/>
                <w:kern w:val="2"/>
                <w:sz w:val="21"/>
                <w:szCs w:val="21"/>
                <w:highlight w:val="red"/>
                <w:lang w:val="en-US" w:eastAsia="zh-CN" w:bidi="ar-SA"/>
              </w:rPr>
            </w:pPr>
            <w:r>
              <w:rPr>
                <w:rFonts w:hint="eastAsia" w:ascii="Times New Roman" w:hAnsi="Times New Roman" w:eastAsia="宋体" w:cstheme="minorEastAsia"/>
                <w:i w:val="0"/>
                <w:color w:val="auto"/>
                <w:kern w:val="0"/>
                <w:sz w:val="21"/>
                <w:szCs w:val="21"/>
                <w:highlight w:val="none"/>
                <w:u w:val="none"/>
                <w:lang w:val="en-US" w:eastAsia="zh-CN" w:bidi="ar"/>
              </w:rPr>
              <w:t>（SB18-</w:t>
            </w:r>
            <w:r>
              <w:rPr>
                <w:rFonts w:hint="eastAsia" w:cstheme="minorEastAsia"/>
                <w:i w:val="0"/>
                <w:color w:val="auto"/>
                <w:kern w:val="0"/>
                <w:sz w:val="21"/>
                <w:szCs w:val="21"/>
                <w:highlight w:val="none"/>
                <w:u w:val="none"/>
                <w:lang w:val="en-US" w:eastAsia="zh-CN" w:bidi="ar"/>
              </w:rPr>
              <w:t>2</w:t>
            </w:r>
            <w:r>
              <w:rPr>
                <w:rFonts w:hint="eastAsia" w:ascii="Times New Roman" w:hAnsi="Times New Roman" w:eastAsia="宋体" w:cstheme="minorEastAsia"/>
                <w:i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2"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z w:val="21"/>
                <w:szCs w:val="21"/>
              </w:rPr>
              <w:t>氯化氢</w:t>
            </w:r>
          </w:p>
        </w:tc>
        <w:tc>
          <w:tcPr>
            <w:tcW w:w="3111"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固定污染源排气中氯化氢的测定</w:t>
            </w:r>
            <w:r>
              <w:rPr>
                <w:rFonts w:hint="default" w:ascii="Times New Roman" w:hAnsi="Times New Roman" w:cs="Times New Roman"/>
                <w:color w:val="auto"/>
                <w:sz w:val="21"/>
                <w:szCs w:val="21"/>
                <w:highlight w:val="none"/>
                <w:lang w:val="en-US" w:eastAsia="zh-CN"/>
              </w:rPr>
              <w:t xml:space="preserve"> 硫氰酸汞分光光度法</w:t>
            </w:r>
            <w:r>
              <w:rPr>
                <w:rFonts w:hint="default" w:ascii="Times New Roman" w:hAnsi="Times New Roman"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rPr>
              <w:t>HJ/T</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27</w:t>
            </w:r>
            <w:r>
              <w:rPr>
                <w:rFonts w:hint="default" w:ascii="Times New Roman" w:hAnsi="Times New Roman" w:cs="Times New Roman"/>
                <w:color w:val="auto"/>
                <w:sz w:val="21"/>
                <w:szCs w:val="21"/>
                <w:highlight w:val="none"/>
              </w:rPr>
              <w:t>-1999</w:t>
            </w:r>
          </w:p>
        </w:tc>
        <w:tc>
          <w:tcPr>
            <w:tcW w:w="124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z w:val="21"/>
                <w:szCs w:val="21"/>
                <w:highlight w:val="none"/>
                <w:lang w:val="en-US" w:eastAsia="zh-CN"/>
              </w:rPr>
              <w:t>采样体积为10L时，检出限为</w:t>
            </w: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2988"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GH-60E自动烟尘烟气测试仪（SB</w:t>
            </w:r>
            <w:r>
              <w:rPr>
                <w:rFonts w:hint="eastAsia" w:cs="Times New Roman"/>
                <w:spacing w:val="0"/>
                <w:sz w:val="21"/>
                <w:szCs w:val="21"/>
                <w:lang w:val="en-US" w:eastAsia="zh-CN"/>
              </w:rPr>
              <w:t>51-5</w:t>
            </w:r>
            <w:r>
              <w:rPr>
                <w:rFonts w:hint="default" w:ascii="Times New Roman" w:hAnsi="Times New Roman" w:eastAsia="宋体" w:cs="Times New Roman"/>
                <w:spacing w:val="0"/>
                <w:sz w:val="21"/>
                <w:szCs w:val="21"/>
                <w:lang w:val="en-US" w:eastAsia="zh-CN"/>
              </w:rPr>
              <w:t>）</w:t>
            </w:r>
          </w:p>
          <w:p>
            <w:pPr>
              <w:keepNext w:val="0"/>
              <w:keepLines w:val="0"/>
              <w:pageBreakBefore w:val="0"/>
              <w:kinsoku/>
              <w:wordWrap/>
              <w:overflowPunct/>
              <w:topLinePunct w:val="0"/>
              <w:autoSpaceDE/>
              <w:autoSpaceDN/>
              <w:bidi w:val="0"/>
              <w:adjustRightInd w:val="0"/>
              <w:snapToGrid w:val="0"/>
              <w:spacing w:line="240" w:lineRule="exact"/>
              <w:ind w:left="0" w:leftChars="0" w:firstLine="0" w:firstLineChars="0"/>
              <w:jc w:val="center"/>
              <w:rPr>
                <w:rFonts w:hint="eastAsia" w:ascii="Times New Roman" w:hAnsi="Times New Roman" w:eastAsia="宋体" w:cstheme="minorEastAsia"/>
                <w:i w:val="0"/>
                <w:color w:val="auto"/>
                <w:kern w:val="0"/>
                <w:sz w:val="21"/>
                <w:szCs w:val="21"/>
                <w:highlight w:val="none"/>
                <w:u w:val="none"/>
                <w:lang w:val="en-US" w:eastAsia="zh-CN" w:bidi="ar"/>
              </w:rPr>
            </w:pPr>
            <w:r>
              <w:rPr>
                <w:rFonts w:hint="eastAsia" w:ascii="Times New Roman" w:hAnsi="Times New Roman" w:eastAsia="宋体" w:cstheme="minorEastAsia"/>
                <w:i w:val="0"/>
                <w:color w:val="auto"/>
                <w:kern w:val="0"/>
                <w:sz w:val="21"/>
                <w:szCs w:val="21"/>
                <w:highlight w:val="none"/>
                <w:u w:val="none"/>
                <w:lang w:val="en-US" w:eastAsia="zh-CN" w:bidi="ar"/>
              </w:rPr>
              <w:t>GH-2 智能烟气采样器</w:t>
            </w:r>
            <w:r>
              <w:rPr>
                <w:rFonts w:hint="eastAsia" w:cstheme="minorEastAsia"/>
                <w:kern w:val="0"/>
                <w:sz w:val="21"/>
                <w:szCs w:val="21"/>
                <w:highlight w:val="none"/>
                <w:lang w:val="en-US" w:eastAsia="zh-CN"/>
              </w:rPr>
              <w:t>（SB217-2</w:t>
            </w:r>
            <w:r>
              <w:rPr>
                <w:rFonts w:hint="eastAsia" w:cstheme="minorEastAsia"/>
                <w:i w:val="0"/>
                <w:color w:val="auto"/>
                <w:kern w:val="0"/>
                <w:sz w:val="21"/>
                <w:szCs w:val="21"/>
                <w:highlight w:val="none"/>
                <w:u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eastAsia" w:cs="Times New Roman"/>
                <w:color w:val="auto"/>
                <w:spacing w:val="0"/>
                <w:sz w:val="21"/>
                <w:szCs w:val="21"/>
                <w:lang w:val="en-US" w:eastAsia="zh-CN"/>
              </w:rPr>
              <w:t>T6新世纪紫外可见分光光度计（SB128）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2" w:type="dxa"/>
            <w:vMerge w:val="continue"/>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color w:val="auto"/>
                <w:spacing w:val="0"/>
                <w:sz w:val="21"/>
                <w:szCs w:val="21"/>
                <w:lang w:val="en-US" w:eastAsia="zh-CN"/>
              </w:rPr>
            </w:pPr>
          </w:p>
        </w:tc>
        <w:tc>
          <w:tcPr>
            <w:tcW w:w="3111" w:type="dxa"/>
            <w:vMerge w:val="continue"/>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auto"/>
                <w:spacing w:val="0"/>
                <w:sz w:val="21"/>
                <w:szCs w:val="21"/>
                <w:lang w:val="en-US" w:eastAsia="zh-CN"/>
              </w:rPr>
            </w:pPr>
          </w:p>
        </w:tc>
        <w:tc>
          <w:tcPr>
            <w:tcW w:w="124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采样体积为60L时，检出限为</w:t>
            </w: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05</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2988"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ADS-2062E 智能综合采样器</w:t>
            </w:r>
          </w:p>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（SB</w:t>
            </w:r>
            <w:r>
              <w:rPr>
                <w:rFonts w:hint="eastAsia" w:cs="Times New Roman"/>
                <w:spacing w:val="0"/>
                <w:sz w:val="21"/>
                <w:szCs w:val="21"/>
                <w:lang w:val="en-US" w:eastAsia="zh-CN"/>
              </w:rPr>
              <w:t>48-1、2、3</w:t>
            </w:r>
            <w:r>
              <w:rPr>
                <w:rFonts w:hint="default" w:ascii="Times New Roman" w:hAnsi="Times New Roman" w:eastAsia="宋体" w:cs="Times New Roman"/>
                <w:spacing w:val="0"/>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eastAsia" w:cs="Times New Roman"/>
                <w:color w:val="auto"/>
                <w:spacing w:val="0"/>
                <w:sz w:val="21"/>
                <w:szCs w:val="21"/>
                <w:lang w:val="en-US" w:eastAsia="zh-CN"/>
              </w:rPr>
              <w:t>T6新世纪紫外可见分光光度计（SB128）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s="Times New Roman"/>
                <w:spacing w:val="0"/>
                <w:sz w:val="21"/>
                <w:szCs w:val="21"/>
                <w:lang w:val="en-US" w:eastAsia="zh-CN"/>
              </w:rPr>
              <w:t>氯乙烯</w:t>
            </w:r>
          </w:p>
        </w:tc>
        <w:tc>
          <w:tcPr>
            <w:tcW w:w="3111"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cs="Times New Roman"/>
                <w:color w:val="auto"/>
                <w:spacing w:val="0"/>
                <w:sz w:val="21"/>
                <w:szCs w:val="21"/>
                <w:lang w:eastAsia="zh-CN"/>
              </w:rPr>
            </w:pPr>
            <w:r>
              <w:rPr>
                <w:rFonts w:hint="eastAsia" w:cs="Times New Roman"/>
                <w:color w:val="auto"/>
                <w:spacing w:val="0"/>
                <w:sz w:val="21"/>
                <w:szCs w:val="21"/>
                <w:lang w:eastAsia="zh-CN"/>
              </w:rPr>
              <w:t>《</w:t>
            </w:r>
            <w:r>
              <w:rPr>
                <w:rFonts w:hint="default" w:ascii="Times New Roman" w:hAnsi="Times New Roman" w:eastAsia="宋体" w:cs="Times New Roman"/>
                <w:color w:val="auto"/>
                <w:spacing w:val="0"/>
                <w:sz w:val="21"/>
                <w:szCs w:val="21"/>
                <w:lang w:eastAsia="zh-CN"/>
              </w:rPr>
              <w:t>固定污染源排气中氯乙烯的测定 气相色谱法</w:t>
            </w:r>
            <w:r>
              <w:rPr>
                <w:rFonts w:hint="eastAsia" w:cs="Times New Roman"/>
                <w:color w:val="auto"/>
                <w:spacing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0"/>
                <w:sz w:val="21"/>
                <w:szCs w:val="21"/>
                <w:lang w:eastAsia="zh-CN"/>
              </w:rPr>
              <w:t>HJ/T 34-1999</w:t>
            </w:r>
          </w:p>
        </w:tc>
        <w:tc>
          <w:tcPr>
            <w:tcW w:w="124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0.08mg/m</w:t>
            </w:r>
            <w:r>
              <w:rPr>
                <w:rFonts w:hint="default" w:ascii="Times New Roman" w:hAnsi="Times New Roman" w:eastAsia="宋体" w:cs="Times New Roman"/>
                <w:color w:val="auto"/>
                <w:spacing w:val="0"/>
                <w:sz w:val="21"/>
                <w:szCs w:val="21"/>
                <w:vertAlign w:val="superscript"/>
                <w:lang w:val="en-US" w:eastAsia="zh-CN"/>
              </w:rPr>
              <w:t>3</w:t>
            </w:r>
          </w:p>
        </w:tc>
        <w:tc>
          <w:tcPr>
            <w:tcW w:w="2988"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240" w:lineRule="exact"/>
              <w:ind w:left="0" w:leftChars="0" w:right="0" w:rightChars="0" w:firstLine="0" w:firstLineChars="0"/>
              <w:jc w:val="center"/>
              <w:textAlignment w:val="auto"/>
              <w:outlineLvl w:val="9"/>
              <w:rPr>
                <w:rFonts w:hint="eastAsia" w:ascii="Times New Roman" w:hAnsi="Times New Roman" w:eastAsia="宋体" w:cstheme="minorEastAsia"/>
                <w:i w:val="0"/>
                <w:color w:val="auto"/>
                <w:kern w:val="0"/>
                <w:sz w:val="21"/>
                <w:szCs w:val="21"/>
                <w:highlight w:val="none"/>
                <w:u w:val="none"/>
                <w:lang w:val="en-US" w:eastAsia="zh-CN" w:bidi="ar"/>
              </w:rPr>
            </w:pPr>
            <w:r>
              <w:rPr>
                <w:rFonts w:hint="eastAsia" w:ascii="Times New Roman" w:hAnsi="Times New Roman" w:eastAsia="宋体" w:cstheme="minorEastAsia"/>
                <w:i w:val="0"/>
                <w:color w:val="auto"/>
                <w:kern w:val="0"/>
                <w:sz w:val="21"/>
                <w:szCs w:val="21"/>
                <w:highlight w:val="none"/>
                <w:u w:val="none"/>
                <w:lang w:val="en-US" w:eastAsia="zh-CN" w:bidi="ar"/>
              </w:rPr>
              <w:t>GH-60E自动烟尘烟气测试仪（</w:t>
            </w:r>
            <w:r>
              <w:rPr>
                <w:rFonts w:hint="default" w:ascii="Times New Roman" w:hAnsi="Times New Roman" w:eastAsia="宋体" w:cstheme="minorEastAsia"/>
                <w:i w:val="0"/>
                <w:color w:val="auto"/>
                <w:kern w:val="0"/>
                <w:sz w:val="21"/>
                <w:szCs w:val="21"/>
                <w:highlight w:val="none"/>
                <w:u w:val="none"/>
                <w:lang w:val="en-US" w:eastAsia="zh-CN" w:bidi="ar"/>
              </w:rPr>
              <w:t>SB</w:t>
            </w:r>
            <w:r>
              <w:rPr>
                <w:rFonts w:hint="eastAsia" w:cstheme="minorEastAsia"/>
                <w:i w:val="0"/>
                <w:color w:val="auto"/>
                <w:kern w:val="0"/>
                <w:sz w:val="21"/>
                <w:szCs w:val="21"/>
                <w:highlight w:val="none"/>
                <w:u w:val="none"/>
                <w:lang w:val="en-US" w:eastAsia="zh-CN" w:bidi="ar"/>
              </w:rPr>
              <w:t>51-5</w:t>
            </w:r>
            <w:r>
              <w:rPr>
                <w:rFonts w:hint="eastAsia" w:ascii="Times New Roman" w:hAnsi="Times New Roman" w:eastAsia="宋体" w:cstheme="minorEastAsia"/>
                <w:i w:val="0"/>
                <w:color w:val="auto"/>
                <w:kern w:val="0"/>
                <w:sz w:val="21"/>
                <w:szCs w:val="21"/>
                <w:highlight w:val="none"/>
                <w:u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cstheme="minorEastAsia"/>
                <w:i w:val="0"/>
                <w:color w:val="auto"/>
                <w:kern w:val="0"/>
                <w:sz w:val="21"/>
                <w:szCs w:val="21"/>
                <w:highlight w:val="none"/>
                <w:u w:val="none"/>
                <w:lang w:val="en-US" w:eastAsia="zh-CN" w:bidi="ar"/>
              </w:rPr>
            </w:pPr>
            <w:r>
              <w:rPr>
                <w:rFonts w:hint="eastAsia" w:cstheme="minorEastAsia"/>
                <w:i w:val="0"/>
                <w:color w:val="auto"/>
                <w:kern w:val="0"/>
                <w:sz w:val="21"/>
                <w:szCs w:val="21"/>
                <w:highlight w:val="none"/>
                <w:u w:val="none"/>
                <w:lang w:val="en-US" w:eastAsia="zh-CN" w:bidi="ar"/>
              </w:rPr>
              <w:t>HP-CYB-05真空采样箱</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cstheme="minorEastAsia"/>
                <w:i w:val="0"/>
                <w:color w:val="auto"/>
                <w:kern w:val="0"/>
                <w:sz w:val="21"/>
                <w:szCs w:val="21"/>
                <w:highlight w:val="none"/>
                <w:u w:val="none"/>
                <w:lang w:val="en-US" w:eastAsia="zh-CN" w:bidi="ar"/>
              </w:rPr>
            </w:pPr>
            <w:r>
              <w:rPr>
                <w:rFonts w:hint="eastAsia" w:cstheme="minorEastAsia"/>
                <w:i w:val="0"/>
                <w:color w:val="auto"/>
                <w:kern w:val="0"/>
                <w:sz w:val="21"/>
                <w:szCs w:val="21"/>
                <w:highlight w:val="none"/>
                <w:u w:val="none"/>
                <w:lang w:val="en-US" w:eastAsia="zh-CN" w:bidi="ar"/>
              </w:rPr>
              <w:t>（SB168-15、14、13）</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stheme="minorEastAsia"/>
                <w:i w:val="0"/>
                <w:color w:val="auto"/>
                <w:kern w:val="0"/>
                <w:sz w:val="21"/>
                <w:szCs w:val="21"/>
                <w:highlight w:val="none"/>
                <w:u w:val="none"/>
                <w:lang w:val="en-US" w:eastAsia="zh-CN" w:bidi="ar"/>
              </w:rPr>
            </w:pPr>
            <w:r>
              <w:rPr>
                <w:rFonts w:hint="eastAsia" w:ascii="Times New Roman" w:hAnsi="Times New Roman" w:eastAsia="宋体" w:cstheme="minorEastAsia"/>
                <w:i w:val="0"/>
                <w:color w:val="auto"/>
                <w:kern w:val="0"/>
                <w:sz w:val="21"/>
                <w:szCs w:val="21"/>
                <w:highlight w:val="none"/>
                <w:u w:val="none"/>
                <w:lang w:val="en-US" w:eastAsia="zh-CN" w:bidi="ar"/>
              </w:rPr>
              <w:t>GC-9790II气相色谱仪</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red"/>
                <w:lang w:val="en-US" w:eastAsia="zh-CN" w:bidi="ar-SA"/>
              </w:rPr>
            </w:pPr>
            <w:r>
              <w:rPr>
                <w:rFonts w:hint="eastAsia" w:ascii="Times New Roman" w:hAnsi="Times New Roman" w:eastAsia="宋体" w:cstheme="minorEastAsia"/>
                <w:i w:val="0"/>
                <w:color w:val="auto"/>
                <w:kern w:val="0"/>
                <w:sz w:val="21"/>
                <w:szCs w:val="21"/>
                <w:highlight w:val="none"/>
                <w:u w:val="none"/>
                <w:lang w:val="en-US" w:eastAsia="zh-CN" w:bidi="ar"/>
              </w:rPr>
              <w:t>（SB18-</w:t>
            </w:r>
            <w:r>
              <w:rPr>
                <w:rFonts w:hint="eastAsia" w:cstheme="minorEastAsia"/>
                <w:i w:val="0"/>
                <w:color w:val="auto"/>
                <w:kern w:val="0"/>
                <w:sz w:val="21"/>
                <w:szCs w:val="21"/>
                <w:highlight w:val="none"/>
                <w:u w:val="none"/>
                <w:lang w:val="en-US" w:eastAsia="zh-CN" w:bidi="ar"/>
              </w:rPr>
              <w:t>1</w:t>
            </w:r>
            <w:r>
              <w:rPr>
                <w:rFonts w:hint="eastAsia" w:ascii="Times New Roman" w:hAnsi="Times New Roman" w:eastAsia="宋体" w:cstheme="minorEastAsia"/>
                <w:i w:val="0"/>
                <w:color w:val="auto"/>
                <w:kern w:val="0"/>
                <w:sz w:val="21"/>
                <w:szCs w:val="21"/>
                <w:highlight w:val="none"/>
                <w:u w:val="none"/>
                <w:lang w:val="en-US" w:eastAsia="zh-CN" w:bidi="ar"/>
              </w:rPr>
              <w:t>）</w:t>
            </w:r>
          </w:p>
        </w:tc>
      </w:tr>
    </w:tbl>
    <w:p>
      <w:pPr>
        <w:spacing w:beforeLines="50" w:afterLines="50" w:line="400" w:lineRule="atLeast"/>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default" w:ascii="Times New Roman" w:hAnsi="Times New Roman" w:eastAsia="宋体" w:cs="Times New Roman"/>
          <w:b/>
          <w:sz w:val="24"/>
          <w:lang w:val="en-US" w:eastAsia="zh-CN"/>
        </w:rPr>
        <w:t>5</w:t>
      </w:r>
      <w:r>
        <w:rPr>
          <w:rFonts w:hint="default" w:ascii="Times New Roman" w:hAnsi="Times New Roman" w:eastAsia="宋体" w:cs="Times New Roman"/>
          <w:b/>
          <w:sz w:val="24"/>
        </w:rPr>
        <w:tab/>
      </w:r>
      <w:r>
        <w:rPr>
          <w:rFonts w:hint="default" w:ascii="Times New Roman" w:hAnsi="Times New Roman" w:eastAsia="宋体" w:cs="Times New Roman"/>
          <w:b/>
          <w:sz w:val="24"/>
        </w:rPr>
        <w:t xml:space="preserve"> 厂界噪声检测分析方法及所用仪器</w:t>
      </w:r>
    </w:p>
    <w:tbl>
      <w:tblPr>
        <w:tblStyle w:val="2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3544"/>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133" w:type="dxa"/>
            <w:tcBorders>
              <w:tl2br w:val="nil"/>
              <w:tr2bl w:val="nil"/>
            </w:tcBorders>
            <w:vAlign w:val="center"/>
          </w:tcPr>
          <w:p>
            <w:pPr>
              <w:spacing w:line="36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检测项目</w:t>
            </w:r>
          </w:p>
        </w:tc>
        <w:tc>
          <w:tcPr>
            <w:tcW w:w="3544" w:type="dxa"/>
            <w:tcBorders>
              <w:tl2br w:val="nil"/>
              <w:tr2bl w:val="nil"/>
            </w:tcBorders>
            <w:vAlign w:val="center"/>
          </w:tcPr>
          <w:p>
            <w:pPr>
              <w:spacing w:line="36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检测方法及方法来源</w:t>
            </w:r>
          </w:p>
        </w:tc>
        <w:tc>
          <w:tcPr>
            <w:tcW w:w="382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sz w:val="21"/>
                <w:szCs w:val="21"/>
                <w:lang w:val="en-US" w:eastAsia="zh-CN"/>
              </w:rPr>
              <w:t>分析仪器/检出限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133"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exact"/>
              <w:jc w:val="center"/>
              <w:rPr>
                <w:rFonts w:hint="default" w:ascii="Times New Roman" w:hAnsi="Times New Roman" w:cs="Times New Roman"/>
                <w:spacing w:val="0"/>
                <w:kern w:val="28"/>
                <w:sz w:val="21"/>
                <w:szCs w:val="21"/>
                <w:lang w:eastAsia="zh-CN"/>
              </w:rPr>
            </w:pPr>
            <w:r>
              <w:rPr>
                <w:rFonts w:hint="default" w:ascii="Times New Roman" w:hAnsi="Times New Roman" w:cs="Times New Roman"/>
                <w:spacing w:val="0"/>
                <w:kern w:val="28"/>
                <w:sz w:val="21"/>
                <w:szCs w:val="21"/>
                <w:lang w:eastAsia="zh-CN"/>
              </w:rPr>
              <w:t>工业企业</w:t>
            </w:r>
          </w:p>
          <w:p>
            <w:pPr>
              <w:keepNext w:val="0"/>
              <w:keepLines w:val="0"/>
              <w:pageBreakBefore w:val="0"/>
              <w:kinsoku/>
              <w:wordWrap/>
              <w:overflowPunct/>
              <w:topLinePunct w:val="0"/>
              <w:autoSpaceDE/>
              <w:autoSpaceDN/>
              <w:bidi w:val="0"/>
              <w:snapToGrid w:val="0"/>
              <w:spacing w:line="240" w:lineRule="exact"/>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kern w:val="28"/>
                <w:sz w:val="21"/>
                <w:szCs w:val="21"/>
              </w:rPr>
              <w:t>厂界噪声</w:t>
            </w:r>
          </w:p>
        </w:tc>
        <w:tc>
          <w:tcPr>
            <w:tcW w:w="3544"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工业企业厂界环境噪声排放标准</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GB 12348-2008</w:t>
            </w:r>
          </w:p>
        </w:tc>
        <w:tc>
          <w:tcPr>
            <w:tcW w:w="3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AWA5688多功能声级计（SB58-</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AWA6021A声校准器（SB95-</w:t>
            </w:r>
            <w:r>
              <w:rPr>
                <w:rFonts w:hint="eastAsia"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PM6252A 风速仪（SB100-</w:t>
            </w:r>
            <w:r>
              <w:rPr>
                <w:rFonts w:hint="eastAsia"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bl>
    <w:p>
      <w:pPr>
        <w:rPr>
          <w:rFonts w:hint="default" w:ascii="Times New Roman" w:hAnsi="Times New Roman" w:eastAsia="宋体" w:cs="Times New Roman"/>
        </w:rPr>
      </w:pPr>
      <w:bookmarkStart w:id="219" w:name="_Toc12330"/>
      <w:bookmarkStart w:id="220" w:name="_Toc19386"/>
      <w:bookmarkStart w:id="221" w:name="_Toc29080"/>
      <w:bookmarkStart w:id="222" w:name="_Toc28512"/>
      <w:r>
        <w:rPr>
          <w:rFonts w:hint="default" w:ascii="Times New Roman" w:hAnsi="Times New Roman" w:eastAsia="宋体" w:cs="Times New Roman"/>
        </w:rPr>
        <w:br w:type="page"/>
      </w:r>
    </w:p>
    <w:p>
      <w:pPr>
        <w:pStyle w:val="7"/>
        <w:spacing w:beforeLines="50" w:afterLines="50"/>
        <w:rPr>
          <w:rFonts w:hint="default" w:ascii="Times New Roman" w:hAnsi="Times New Roman" w:eastAsia="宋体" w:cs="Times New Roman"/>
        </w:rPr>
      </w:pPr>
      <w:bookmarkStart w:id="223" w:name="_Toc6354"/>
      <w:r>
        <w:rPr>
          <w:rFonts w:hint="default" w:ascii="Times New Roman" w:hAnsi="Times New Roman" w:eastAsia="宋体" w:cs="Times New Roman"/>
        </w:rPr>
        <w:t>6.2.3 检测点位示意图</w:t>
      </w:r>
      <w:bookmarkEnd w:id="219"/>
      <w:bookmarkEnd w:id="220"/>
      <w:bookmarkEnd w:id="221"/>
      <w:bookmarkEnd w:id="222"/>
      <w:bookmarkEnd w:id="223"/>
    </w:p>
    <w:p>
      <w:pPr>
        <w:rPr>
          <w:rFonts w:hint="default" w:ascii="Times New Roman" w:hAnsi="Times New Roman" w:eastAsia="宋体" w:cs="Times New Roman"/>
        </w:rPr>
      </w:pPr>
      <w:r>
        <w:rPr>
          <w:rFonts w:hint="default" w:ascii="Times New Roman" w:hAnsi="Times New Roman" w:eastAsia="宋体" w:cs="Times New Roman"/>
          <w:b/>
          <w:spacing w:val="0"/>
          <w:sz w:val="28"/>
          <w:szCs w:val="28"/>
          <w:highlight w:val="none"/>
          <w:lang w:eastAsia="zh-CN"/>
        </w:rPr>
        <w:pict>
          <v:shape id="_x0000_s2072" o:spid="_x0000_s2072" o:spt="75" type="#_x0000_t75" style="position:absolute;left:0pt;margin-left:-11.9pt;margin-top:10.05pt;height:314.3pt;width:474.2pt;z-index:-251627520;mso-width-relative:page;mso-height-relative:page;" o:ole="t" filled="f" o:preferrelative="t" stroked="f" coordsize="21600,21600">
            <v:path/>
            <v:fill on="f" focussize="0,0"/>
            <v:stroke on="f"/>
            <v:imagedata r:id="rId20" o:title=""/>
            <o:lock v:ext="edit" aspectratio="f"/>
          </v:shape>
          <o:OLEObject Type="Embed" ProgID="Visio.Drawing.11" ShapeID="_x0000_s2072" DrawAspect="Content" ObjectID="_1468075725" r:id="rId19">
            <o:LockedField>false</o:LockedField>
          </o:OLEObject>
        </w:pic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bidi w:val="0"/>
        <w:rPr>
          <w:rFonts w:hint="default"/>
        </w:rPr>
      </w:pPr>
      <w:bookmarkStart w:id="224" w:name="_Toc14303"/>
      <w:bookmarkStart w:id="225" w:name="_Toc2070"/>
      <w:bookmarkStart w:id="226" w:name="_Toc27299"/>
    </w:p>
    <w:p>
      <w:pPr>
        <w:bidi w:val="0"/>
        <w:rPr>
          <w:rFonts w:hint="default"/>
        </w:rPr>
      </w:pPr>
    </w:p>
    <w:p>
      <w:pPr>
        <w:rPr>
          <w:rFonts w:hint="default" w:ascii="Times New Roman" w:hAnsi="Times New Roman" w:eastAsia="宋体" w:cs="Times New Roman"/>
        </w:rPr>
      </w:pPr>
    </w:p>
    <w:p>
      <w:pPr>
        <w:pStyle w:val="21"/>
        <w:rPr>
          <w:rFonts w:hint="default" w:ascii="Times New Roman" w:hAnsi="Times New Roman" w:eastAsia="宋体" w:cs="Times New Roman"/>
        </w:rPr>
      </w:pPr>
    </w:p>
    <w:bookmarkEnd w:id="224"/>
    <w:bookmarkEnd w:id="225"/>
    <w:bookmarkEnd w:id="226"/>
    <w:p>
      <w:pPr>
        <w:rPr>
          <w:rFonts w:hint="default" w:ascii="Times New Roman" w:hAnsi="Times New Roman" w:eastAsia="宋体" w:cs="Times New Roman"/>
        </w:rPr>
      </w:pPr>
      <w:bookmarkStart w:id="227" w:name="_Toc19136"/>
      <w:bookmarkStart w:id="228" w:name="_Toc4189"/>
      <w:bookmarkStart w:id="229" w:name="_Toc22345"/>
      <w:r>
        <w:rPr>
          <w:rFonts w:hint="default" w:ascii="Times New Roman" w:hAnsi="Times New Roman" w:eastAsia="宋体" w:cs="Times New Roman"/>
          <w:b/>
          <w:spacing w:val="0"/>
          <w:sz w:val="28"/>
          <w:szCs w:val="28"/>
          <w:highlight w:val="none"/>
          <w:lang w:eastAsia="zh-CN"/>
        </w:rPr>
        <w:pict>
          <v:shape id="_x0000_s2073" o:spid="_x0000_s2073" o:spt="75" type="#_x0000_t75" style="position:absolute;left:0pt;margin-left:-16.95pt;margin-top:123.2pt;height:314.3pt;width:474.2pt;z-index:-251626496;mso-width-relative:page;mso-height-relative:page;" o:ole="t" filled="f" o:preferrelative="t" stroked="f" coordsize="21600,21600">
            <v:path/>
            <v:fill on="f" focussize="0,0"/>
            <v:stroke on="f"/>
            <v:imagedata r:id="rId22" o:title=""/>
            <o:lock v:ext="edit" aspectratio="f"/>
          </v:shape>
          <o:OLEObject Type="Embed" ProgID="Visio.Drawing.11" ShapeID="_x0000_s2073" DrawAspect="Content" ObjectID="_1468075726" r:id="rId21">
            <o:LockedField>false</o:LockedField>
          </o:OLEObject>
        </w:pict>
      </w:r>
      <w:r>
        <w:rPr>
          <w:rFonts w:hint="default" w:ascii="Times New Roman" w:hAnsi="Times New Roman" w:eastAsia="宋体" w:cs="Times New Roman"/>
        </w:rPr>
        <w:br w:type="page"/>
      </w:r>
    </w:p>
    <w:p>
      <w:pPr>
        <w:pStyle w:val="5"/>
        <w:spacing w:line="440" w:lineRule="atLeast"/>
        <w:rPr>
          <w:rFonts w:hint="default" w:ascii="Times New Roman" w:hAnsi="Times New Roman" w:eastAsia="宋体" w:cs="Times New Roman"/>
        </w:rPr>
      </w:pPr>
      <w:bookmarkStart w:id="230" w:name="_Toc30623"/>
      <w:r>
        <w:rPr>
          <w:rFonts w:hint="default" w:ascii="Times New Roman" w:hAnsi="Times New Roman" w:eastAsia="宋体" w:cs="Times New Roman"/>
        </w:rPr>
        <w:t>7 验收检测结果及分析</w:t>
      </w:r>
      <w:bookmarkEnd w:id="227"/>
      <w:bookmarkEnd w:id="228"/>
      <w:bookmarkEnd w:id="229"/>
      <w:bookmarkEnd w:id="230"/>
    </w:p>
    <w:p>
      <w:pPr>
        <w:pStyle w:val="6"/>
        <w:spacing w:line="440" w:lineRule="atLeast"/>
        <w:rPr>
          <w:rFonts w:hint="default" w:ascii="Times New Roman" w:hAnsi="Times New Roman" w:eastAsia="宋体" w:cs="Times New Roman"/>
        </w:rPr>
      </w:pPr>
      <w:bookmarkStart w:id="231" w:name="_Toc10665"/>
      <w:bookmarkStart w:id="232" w:name="_Toc32720"/>
      <w:bookmarkStart w:id="233" w:name="_Toc11364"/>
      <w:bookmarkStart w:id="234" w:name="_Toc13439"/>
      <w:r>
        <w:rPr>
          <w:rFonts w:hint="default" w:ascii="Times New Roman" w:hAnsi="Times New Roman" w:eastAsia="宋体" w:cs="Times New Roman"/>
        </w:rPr>
        <w:t>7.1 检测结果</w:t>
      </w:r>
      <w:bookmarkEnd w:id="231"/>
      <w:bookmarkEnd w:id="232"/>
      <w:bookmarkEnd w:id="233"/>
      <w:bookmarkEnd w:id="234"/>
    </w:p>
    <w:p>
      <w:pPr>
        <w:pStyle w:val="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rPr>
      </w:pPr>
      <w:bookmarkStart w:id="235" w:name="_Toc4599"/>
      <w:bookmarkStart w:id="236" w:name="_Toc19935"/>
      <w:bookmarkStart w:id="237" w:name="_Toc32125"/>
      <w:bookmarkStart w:id="238" w:name="_Toc6032"/>
      <w:bookmarkStart w:id="239" w:name="_Toc3464"/>
      <w:bookmarkStart w:id="240" w:name="_Toc497001488"/>
      <w:r>
        <w:rPr>
          <w:rFonts w:hint="default" w:ascii="Times New Roman" w:hAnsi="Times New Roman" w:eastAsia="宋体" w:cs="Times New Roman"/>
        </w:rPr>
        <w:t>7.1.1 废气检测结果</w:t>
      </w:r>
      <w:bookmarkEnd w:id="235"/>
      <w:bookmarkEnd w:id="236"/>
      <w:bookmarkEnd w:id="237"/>
      <w:bookmarkEnd w:id="238"/>
      <w:bookmarkEnd w:id="239"/>
      <w:bookmarkEnd w:id="240"/>
    </w:p>
    <w:p>
      <w:pPr>
        <w:pStyle w:val="2"/>
        <w:keepNext w:val="0"/>
        <w:keepLines w:val="0"/>
        <w:pageBreakBefore w:val="0"/>
        <w:widowControl w:val="0"/>
        <w:kinsoku/>
        <w:wordWrap/>
        <w:overflowPunct/>
        <w:topLinePunct w:val="0"/>
        <w:autoSpaceDE/>
        <w:autoSpaceDN/>
        <w:bidi w:val="0"/>
        <w:adjustRightInd/>
        <w:snapToGrid/>
        <w:spacing w:before="157" w:line="240" w:lineRule="auto"/>
        <w:ind w:left="0" w:leftChars="0" w:right="0" w:rightChars="0" w:firstLine="482" w:firstLineChars="20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表7-</w:t>
      </w:r>
      <w:r>
        <w:rPr>
          <w:rFonts w:hint="default"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sz w:val="24"/>
          <w:szCs w:val="24"/>
          <w:lang w:eastAsia="zh-CN"/>
        </w:rPr>
        <w:t>有组织废气检</w:t>
      </w:r>
      <w:r>
        <w:rPr>
          <w:rFonts w:hint="default" w:ascii="Times New Roman" w:hAnsi="Times New Roman" w:eastAsia="宋体" w:cs="Times New Roman"/>
          <w:b/>
          <w:sz w:val="24"/>
          <w:szCs w:val="24"/>
        </w:rPr>
        <w:t>测结果</w:t>
      </w:r>
    </w:p>
    <w:tbl>
      <w:tblPr>
        <w:tblStyle w:val="22"/>
        <w:tblW w:w="97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1912"/>
        <w:gridCol w:w="702"/>
        <w:gridCol w:w="770"/>
        <w:gridCol w:w="770"/>
        <w:gridCol w:w="770"/>
        <w:gridCol w:w="600"/>
        <w:gridCol w:w="1546"/>
        <w:gridCol w:w="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restart"/>
            <w:tcBorders>
              <w:top w:val="single" w:color="auto" w:sz="4" w:space="0"/>
              <w:left w:val="single" w:color="auto" w:sz="4" w:space="0"/>
            </w:tcBorders>
            <w:noWrap w:val="0"/>
            <w:tcMar>
              <w:left w:w="6" w:type="dxa"/>
              <w:right w:w="6" w:type="dxa"/>
            </w:tcMar>
            <w:vAlign w:val="center"/>
          </w:tcPr>
          <w:p>
            <w:pPr>
              <w:keepNext w:val="0"/>
              <w:keepLines w:val="0"/>
              <w:pageBreakBefore w:val="0"/>
              <w:widowControl/>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监测点位</w:t>
            </w:r>
            <w:r>
              <w:rPr>
                <w:rFonts w:hint="default" w:ascii="Times New Roman" w:hAnsi="Times New Roman" w:cs="Times New Roman"/>
                <w:sz w:val="21"/>
                <w:szCs w:val="21"/>
                <w:lang w:eastAsia="zh-CN"/>
              </w:rPr>
              <w:t>、</w:t>
            </w:r>
            <w:r>
              <w:rPr>
                <w:rFonts w:hint="default" w:ascii="Times New Roman" w:hAnsi="Times New Roman" w:cs="Times New Roman"/>
                <w:sz w:val="21"/>
                <w:szCs w:val="21"/>
              </w:rPr>
              <w:t>时间</w:t>
            </w:r>
          </w:p>
        </w:tc>
        <w:tc>
          <w:tcPr>
            <w:tcW w:w="1912" w:type="dxa"/>
            <w:vMerge w:val="restart"/>
            <w:tcBorders>
              <w:top w:val="single" w:color="auto" w:sz="4" w:space="0"/>
            </w:tcBorders>
            <w:noWrap w:val="0"/>
            <w:tcMar>
              <w:left w:w="6" w:type="dxa"/>
              <w:right w:w="6" w:type="dxa"/>
            </w:tcMar>
            <w:vAlign w:val="center"/>
          </w:tcPr>
          <w:p>
            <w:pPr>
              <w:keepNext w:val="0"/>
              <w:keepLines w:val="0"/>
              <w:pageBreakBefore w:val="0"/>
              <w:widowControl/>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监测项目</w:t>
            </w:r>
          </w:p>
        </w:tc>
        <w:tc>
          <w:tcPr>
            <w:tcW w:w="702" w:type="dxa"/>
            <w:vMerge w:val="restart"/>
            <w:tcBorders>
              <w:top w:val="single" w:color="auto" w:sz="4" w:space="0"/>
            </w:tcBorders>
            <w:noWrap w:val="0"/>
            <w:tcMar>
              <w:left w:w="6" w:type="dxa"/>
              <w:right w:w="6" w:type="dxa"/>
            </w:tcMar>
            <w:vAlign w:val="center"/>
          </w:tcPr>
          <w:p>
            <w:pPr>
              <w:keepNext w:val="0"/>
              <w:keepLines w:val="0"/>
              <w:pageBreakBefore w:val="0"/>
              <w:widowControl/>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2310" w:type="dxa"/>
            <w:gridSpan w:val="3"/>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监测结果</w:t>
            </w:r>
          </w:p>
        </w:tc>
        <w:tc>
          <w:tcPr>
            <w:tcW w:w="600" w:type="dxa"/>
            <w:vMerge w:val="restart"/>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均值</w:t>
            </w:r>
          </w:p>
        </w:tc>
        <w:tc>
          <w:tcPr>
            <w:tcW w:w="1546" w:type="dxa"/>
            <w:vMerge w:val="restart"/>
            <w:tcBorders>
              <w:top w:val="single" w:color="auto" w:sz="4" w:space="0"/>
              <w:left w:val="single" w:color="auto" w:sz="4" w:space="0"/>
              <w:right w:val="nil"/>
            </w:tcBorders>
            <w:noWrap w:val="0"/>
            <w:vAlign w:val="center"/>
          </w:tcPr>
          <w:p>
            <w:pPr>
              <w:keepNext w:val="0"/>
              <w:keepLines w:val="0"/>
              <w:pageBreakBefore w:val="0"/>
              <w:widowControl/>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执行标准号</w:t>
            </w:r>
          </w:p>
          <w:p>
            <w:pPr>
              <w:keepNext w:val="0"/>
              <w:keepLines w:val="0"/>
              <w:pageBreakBefore w:val="0"/>
              <w:widowControl/>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及标准值</w:t>
            </w:r>
          </w:p>
        </w:tc>
        <w:tc>
          <w:tcPr>
            <w:tcW w:w="65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达标</w:t>
            </w:r>
          </w:p>
          <w:p>
            <w:pPr>
              <w:keepNext w:val="0"/>
              <w:keepLines w:val="0"/>
              <w:pageBreakBefore w:val="0"/>
              <w:widowControl/>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rPr>
            </w:pPr>
          </w:p>
        </w:tc>
        <w:tc>
          <w:tcPr>
            <w:tcW w:w="1912" w:type="dxa"/>
            <w:vMerge w:val="continue"/>
            <w:noWrap w:val="0"/>
            <w:tcMar>
              <w:left w:w="6" w:type="dxa"/>
              <w:right w:w="6" w:type="dxa"/>
            </w:tcMar>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rPr>
                <w:rFonts w:hint="default" w:ascii="Times New Roman" w:hAnsi="Times New Roman" w:cs="Times New Roman"/>
                <w:sz w:val="21"/>
                <w:szCs w:val="21"/>
              </w:rPr>
            </w:pPr>
          </w:p>
        </w:tc>
        <w:tc>
          <w:tcPr>
            <w:tcW w:w="702" w:type="dxa"/>
            <w:vMerge w:val="continue"/>
            <w:noWrap w:val="0"/>
            <w:tcMar>
              <w:left w:w="6" w:type="dxa"/>
              <w:right w:w="6" w:type="dxa"/>
            </w:tcMar>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rPr>
                <w:rFonts w:hint="default" w:ascii="Times New Roman" w:hAnsi="Times New Roman" w:cs="Times New Roman"/>
                <w:sz w:val="21"/>
                <w:szCs w:val="21"/>
              </w:rPr>
            </w:pPr>
          </w:p>
        </w:tc>
        <w:tc>
          <w:tcPr>
            <w:tcW w:w="770"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770"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770"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600" w:type="dxa"/>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rPr>
                <w:rFonts w:hint="default" w:ascii="Times New Roman" w:hAnsi="Times New Roman" w:cs="Times New Roman"/>
                <w:sz w:val="21"/>
                <w:szCs w:val="21"/>
              </w:rPr>
            </w:pPr>
          </w:p>
        </w:tc>
        <w:tc>
          <w:tcPr>
            <w:tcW w:w="1546" w:type="dxa"/>
            <w:vMerge w:val="continue"/>
            <w:tcBorders>
              <w:left w:val="single" w:color="auto" w:sz="4" w:space="0"/>
              <w:right w:val="nil"/>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rPr>
            </w:pPr>
          </w:p>
        </w:tc>
        <w:tc>
          <w:tcPr>
            <w:tcW w:w="650"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restart"/>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highlight w:val="none"/>
                <w:lang w:val="en-US" w:eastAsia="zh-CN"/>
              </w:rPr>
            </w:pPr>
            <w:r>
              <w:rPr>
                <w:rFonts w:hint="default" w:ascii="Times New Roman" w:hAnsi="Times New Roman" w:cs="Times New Roman"/>
                <w:spacing w:val="0"/>
                <w:sz w:val="21"/>
                <w:szCs w:val="21"/>
                <w:highlight w:val="none"/>
                <w:lang w:val="en-US" w:eastAsia="zh-CN"/>
              </w:rPr>
              <w:t>塑化工序废气处理设施进口</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highlight w:val="none"/>
                <w:lang w:val="en-US" w:eastAsia="zh-CN"/>
              </w:rPr>
            </w:pPr>
            <w:r>
              <w:rPr>
                <w:rFonts w:hint="default" w:ascii="Times New Roman" w:hAnsi="Times New Roman" w:cs="Times New Roman"/>
                <w:spacing w:val="0"/>
                <w:sz w:val="21"/>
                <w:szCs w:val="21"/>
                <w:highlight w:val="none"/>
                <w:lang w:val="en-US" w:eastAsia="zh-CN"/>
              </w:rPr>
              <w:t>2022.06.17</w:t>
            </w: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标干流量</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770" w:type="dxa"/>
            <w:tcBorders>
              <w:top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3203</w:t>
            </w:r>
          </w:p>
        </w:tc>
        <w:tc>
          <w:tcPr>
            <w:tcW w:w="770" w:type="dxa"/>
            <w:tcBorders>
              <w:top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3205</w:t>
            </w:r>
          </w:p>
        </w:tc>
        <w:tc>
          <w:tcPr>
            <w:tcW w:w="770" w:type="dxa"/>
            <w:tcBorders>
              <w:top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3208</w:t>
            </w:r>
          </w:p>
        </w:tc>
        <w:tc>
          <w:tcPr>
            <w:tcW w:w="600" w:type="dxa"/>
            <w:tcBorders>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3205</w:t>
            </w:r>
          </w:p>
        </w:tc>
        <w:tc>
          <w:tcPr>
            <w:tcW w:w="1546" w:type="dxa"/>
            <w:tcBorders>
              <w:left w:val="single" w:color="auto" w:sz="4" w:space="0"/>
              <w:right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p>
        </w:tc>
        <w:tc>
          <w:tcPr>
            <w:tcW w:w="650"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highlight w:val="none"/>
                <w:lang w:val="en-US" w:eastAsia="zh-CN"/>
              </w:rPr>
            </w:pPr>
          </w:p>
        </w:tc>
        <w:tc>
          <w:tcPr>
            <w:tcW w:w="1912" w:type="dxa"/>
            <w:tcBorders>
              <w:bottom w:val="single" w:color="auto" w:sz="4" w:space="0"/>
            </w:tcBorders>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(以碳计)</w:t>
            </w:r>
            <w:r>
              <w:rPr>
                <w:rFonts w:hint="default" w:ascii="Times New Roman" w:hAnsi="Times New Roman" w:cs="Times New Roman"/>
                <w:sz w:val="21"/>
                <w:szCs w:val="21"/>
                <w:lang w:eastAsia="zh-CN"/>
              </w:rPr>
              <w:t>浓度</w:t>
            </w:r>
          </w:p>
        </w:tc>
        <w:tc>
          <w:tcPr>
            <w:tcW w:w="702" w:type="dxa"/>
            <w:tcBorders>
              <w:bottom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5.92</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6.00</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6.13</w:t>
            </w:r>
          </w:p>
        </w:tc>
        <w:tc>
          <w:tcPr>
            <w:tcW w:w="600" w:type="dxa"/>
            <w:tcBorders>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6.02</w:t>
            </w:r>
          </w:p>
        </w:tc>
        <w:tc>
          <w:tcPr>
            <w:tcW w:w="1546" w:type="dxa"/>
            <w:tcBorders>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w:t>
            </w:r>
          </w:p>
        </w:tc>
        <w:tc>
          <w:tcPr>
            <w:tcW w:w="650"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restart"/>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highlight w:val="none"/>
                <w:lang w:val="en-US" w:eastAsia="zh-CN"/>
              </w:rPr>
            </w:pPr>
            <w:r>
              <w:rPr>
                <w:rFonts w:hint="default" w:ascii="Times New Roman" w:hAnsi="Times New Roman" w:cs="Times New Roman"/>
                <w:color w:val="auto"/>
                <w:spacing w:val="0"/>
                <w:kern w:val="2"/>
                <w:sz w:val="21"/>
                <w:szCs w:val="21"/>
                <w:lang w:val="en-US" w:eastAsia="zh-CN" w:bidi="ar-SA"/>
              </w:rPr>
              <w:t>塑化工序废气处理设施出口</w:t>
            </w:r>
            <w:r>
              <w:rPr>
                <w:rFonts w:hint="default" w:ascii="Times New Roman" w:hAnsi="Times New Roman" w:cs="Times New Roman"/>
                <w:color w:val="auto"/>
                <w:spacing w:val="0"/>
                <w:kern w:val="2"/>
                <w:sz w:val="21"/>
                <w:szCs w:val="21"/>
                <w:lang w:val="en-US" w:eastAsia="zh-CN" w:bidi="ar-SA"/>
              </w:rPr>
              <w:br w:type="textWrapping"/>
            </w:r>
            <w:r>
              <w:rPr>
                <w:rFonts w:hint="default" w:ascii="Times New Roman" w:hAnsi="Times New Roman" w:cs="Times New Roman"/>
                <w:color w:val="auto"/>
                <w:spacing w:val="0"/>
                <w:kern w:val="2"/>
                <w:sz w:val="21"/>
                <w:szCs w:val="21"/>
                <w:lang w:val="en-US" w:eastAsia="zh-CN" w:bidi="ar-SA"/>
              </w:rPr>
              <w:t>2022.06.17</w:t>
            </w: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标干流量</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770" w:type="dxa"/>
            <w:tcBorders>
              <w:top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3013</w:t>
            </w:r>
          </w:p>
        </w:tc>
        <w:tc>
          <w:tcPr>
            <w:tcW w:w="770" w:type="dxa"/>
            <w:tcBorders>
              <w:top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3009</w:t>
            </w:r>
          </w:p>
        </w:tc>
        <w:tc>
          <w:tcPr>
            <w:tcW w:w="770" w:type="dxa"/>
            <w:tcBorders>
              <w:top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3005</w:t>
            </w:r>
          </w:p>
        </w:tc>
        <w:tc>
          <w:tcPr>
            <w:tcW w:w="600" w:type="dxa"/>
            <w:tcBorders>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3009</w:t>
            </w:r>
          </w:p>
        </w:tc>
        <w:tc>
          <w:tcPr>
            <w:tcW w:w="1546" w:type="dxa"/>
            <w:tcBorders>
              <w:top w:val="single" w:color="auto" w:sz="4" w:space="0"/>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GB15581-2016</w:t>
            </w:r>
          </w:p>
        </w:tc>
        <w:tc>
          <w:tcPr>
            <w:tcW w:w="650"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eastAsia="zh-CN"/>
              </w:rPr>
            </w:pPr>
          </w:p>
        </w:tc>
        <w:tc>
          <w:tcPr>
            <w:tcW w:w="1912" w:type="dxa"/>
            <w:noWrap w:val="0"/>
            <w:tcMar>
              <w:top w:w="0" w:type="dxa"/>
              <w:left w:w="6" w:type="dxa"/>
              <w:bottom w:w="0" w:type="dxa"/>
              <w:right w:w="6" w:type="dxa"/>
            </w:tcMar>
            <w:vAlign w:val="center"/>
          </w:tcPr>
          <w:p>
            <w:pPr>
              <w:keepNext w:val="0"/>
              <w:keepLines w:val="0"/>
              <w:pageBreakBefore w:val="0"/>
              <w:kinsoku/>
              <w:wordWrap/>
              <w:overflowPunct/>
              <w:topLinePunct w:val="0"/>
              <w:autoSpaceDE/>
              <w:autoSpaceDN/>
              <w:bidi w:val="0"/>
              <w:spacing w:line="23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氯化氢</w:t>
            </w:r>
            <w:r>
              <w:rPr>
                <w:rFonts w:hint="default" w:ascii="Times New Roman" w:hAnsi="Times New Roman" w:cs="Times New Roman"/>
                <w:sz w:val="21"/>
                <w:szCs w:val="21"/>
              </w:rPr>
              <w:t>浓度</w:t>
            </w:r>
          </w:p>
        </w:tc>
        <w:tc>
          <w:tcPr>
            <w:tcW w:w="702" w:type="dxa"/>
            <w:noWrap w:val="0"/>
            <w:tcMar>
              <w:left w:w="6" w:type="dxa"/>
              <w:right w:w="6" w:type="dxa"/>
            </w:tcMar>
            <w:vAlign w:val="center"/>
          </w:tcPr>
          <w:p>
            <w:pPr>
              <w:keepNext w:val="0"/>
              <w:keepLines w:val="0"/>
              <w:pageBreakBefore w:val="0"/>
              <w:kinsoku/>
              <w:wordWrap/>
              <w:overflowPunct/>
              <w:topLinePunct w:val="0"/>
              <w:autoSpaceDE/>
              <w:autoSpaceDN/>
              <w:bidi w:val="0"/>
              <w:spacing w:line="23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3.8</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3.7</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3.8</w:t>
            </w:r>
          </w:p>
        </w:tc>
        <w:tc>
          <w:tcPr>
            <w:tcW w:w="600"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3.8</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65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eastAsia="zh-CN"/>
              </w:rPr>
            </w:pPr>
          </w:p>
        </w:tc>
        <w:tc>
          <w:tcPr>
            <w:tcW w:w="1912" w:type="dxa"/>
            <w:noWrap w:val="0"/>
            <w:tcMar>
              <w:top w:w="0" w:type="dxa"/>
              <w:left w:w="6" w:type="dxa"/>
              <w:bottom w:w="0" w:type="dxa"/>
              <w:right w:w="6" w:type="dxa"/>
            </w:tcMar>
            <w:vAlign w:val="center"/>
          </w:tcPr>
          <w:p>
            <w:pPr>
              <w:keepNext w:val="0"/>
              <w:keepLines w:val="0"/>
              <w:pageBreakBefore w:val="0"/>
              <w:kinsoku/>
              <w:wordWrap/>
              <w:overflowPunct/>
              <w:topLinePunct w:val="0"/>
              <w:autoSpaceDE/>
              <w:autoSpaceDN/>
              <w:bidi w:val="0"/>
              <w:spacing w:line="23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氯化氢</w:t>
            </w: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tc>
        <w:tc>
          <w:tcPr>
            <w:tcW w:w="702" w:type="dxa"/>
            <w:noWrap w:val="0"/>
            <w:tcMar>
              <w:left w:w="6" w:type="dxa"/>
              <w:right w:w="6" w:type="dxa"/>
            </w:tcMar>
            <w:vAlign w:val="center"/>
          </w:tcPr>
          <w:p>
            <w:pPr>
              <w:keepNext w:val="0"/>
              <w:keepLines w:val="0"/>
              <w:pageBreakBefore w:val="0"/>
              <w:kinsoku/>
              <w:wordWrap/>
              <w:overflowPunct/>
              <w:topLinePunct w:val="0"/>
              <w:autoSpaceDE/>
              <w:autoSpaceDN/>
              <w:bidi w:val="0"/>
              <w:spacing w:line="23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kg/h</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0.011</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0.011</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0.011</w:t>
            </w:r>
          </w:p>
        </w:tc>
        <w:tc>
          <w:tcPr>
            <w:tcW w:w="600"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0.011</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w:t>
            </w:r>
          </w:p>
        </w:tc>
        <w:tc>
          <w:tcPr>
            <w:tcW w:w="65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eastAsia="zh-CN"/>
              </w:rPr>
            </w:pP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标干流量</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3011</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3016</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3002</w:t>
            </w:r>
          </w:p>
        </w:tc>
        <w:tc>
          <w:tcPr>
            <w:tcW w:w="600"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3010</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w:t>
            </w:r>
          </w:p>
        </w:tc>
        <w:tc>
          <w:tcPr>
            <w:tcW w:w="65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eastAsia="zh-CN"/>
              </w:rPr>
            </w:pP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氯乙烯</w:t>
            </w:r>
            <w:r>
              <w:rPr>
                <w:rFonts w:hint="default" w:ascii="Times New Roman" w:hAnsi="Times New Roman" w:cs="Times New Roman"/>
                <w:sz w:val="21"/>
                <w:szCs w:val="21"/>
                <w:lang w:val="en-US" w:eastAsia="zh-CN"/>
              </w:rPr>
              <w:t>浓度</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pacing w:val="0"/>
                <w:sz w:val="21"/>
                <w:szCs w:val="21"/>
              </w:rPr>
              <w:t>mg/m</w:t>
            </w:r>
            <w:r>
              <w:rPr>
                <w:rFonts w:hint="default" w:ascii="Times New Roman" w:hAnsi="Times New Roman" w:eastAsia="宋体" w:cs="Times New Roman"/>
                <w:spacing w:val="0"/>
                <w:sz w:val="21"/>
                <w:szCs w:val="21"/>
                <w:vertAlign w:val="superscript"/>
              </w:rPr>
              <w:t>3</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ND</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ND</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ND</w:t>
            </w:r>
          </w:p>
        </w:tc>
        <w:tc>
          <w:tcPr>
            <w:tcW w:w="600"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ND</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GB15581-2016</w:t>
            </w:r>
            <w:r>
              <w:rPr>
                <w:rFonts w:hint="default" w:ascii="Times New Roman" w:hAnsi="Times New Roman" w:cs="Times New Roman"/>
                <w:sz w:val="21"/>
                <w:szCs w:val="21"/>
                <w:lang w:val="en-US" w:eastAsia="zh-CN"/>
              </w:rPr>
              <w:br w:type="textWrapping"/>
            </w:r>
            <w:r>
              <w:rPr>
                <w:rFonts w:hint="eastAsia" w:ascii="Times New Roman" w:hAnsi="Times New Roman" w:cs="Times New Roman"/>
                <w:sz w:val="21"/>
                <w:szCs w:val="21"/>
                <w:lang w:val="en-US" w:eastAsia="zh-CN"/>
              </w:rPr>
              <w:t>10</w:t>
            </w:r>
          </w:p>
        </w:tc>
        <w:tc>
          <w:tcPr>
            <w:tcW w:w="65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eastAsia="zh-CN"/>
              </w:rPr>
            </w:pP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(以碳计)</w:t>
            </w:r>
            <w:r>
              <w:rPr>
                <w:rFonts w:hint="default" w:ascii="Times New Roman" w:hAnsi="Times New Roman" w:cs="Times New Roman"/>
                <w:sz w:val="21"/>
                <w:szCs w:val="21"/>
                <w:lang w:eastAsia="zh-CN"/>
              </w:rPr>
              <w:t>浓度</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1.54 </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1.46 </w:t>
            </w:r>
          </w:p>
        </w:tc>
        <w:tc>
          <w:tcPr>
            <w:tcW w:w="770" w:type="dxa"/>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1.51 </w:t>
            </w:r>
          </w:p>
        </w:tc>
        <w:tc>
          <w:tcPr>
            <w:tcW w:w="600"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1.50</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65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eastAsia="zh-CN"/>
              </w:rPr>
            </w:pP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非甲烷总烃去除效率</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c>
          <w:tcPr>
            <w:tcW w:w="2910" w:type="dxa"/>
            <w:gridSpan w:val="4"/>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76.5</w:t>
            </w:r>
          </w:p>
        </w:tc>
        <w:tc>
          <w:tcPr>
            <w:tcW w:w="1546" w:type="dxa"/>
            <w:tcBorders>
              <w:left w:val="single" w:color="auto" w:sz="4" w:space="0"/>
              <w:right w:val="nil"/>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DB13/2322-2016</w:t>
            </w:r>
          </w:p>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90</w:t>
            </w:r>
          </w:p>
        </w:tc>
        <w:tc>
          <w:tcPr>
            <w:tcW w:w="650"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未达标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restart"/>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highlight w:val="none"/>
                <w:lang w:val="en-US" w:eastAsia="zh-CN"/>
              </w:rPr>
            </w:pPr>
            <w:r>
              <w:rPr>
                <w:rFonts w:hint="default" w:ascii="Times New Roman" w:hAnsi="Times New Roman" w:cs="Times New Roman"/>
                <w:spacing w:val="0"/>
                <w:sz w:val="21"/>
                <w:szCs w:val="21"/>
                <w:highlight w:val="none"/>
                <w:lang w:val="en-US" w:eastAsia="zh-CN"/>
              </w:rPr>
              <w:t>塑化工序废气处理设施进口</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highlight w:val="none"/>
                <w:lang w:val="en-US" w:eastAsia="zh-CN"/>
              </w:rPr>
            </w:pPr>
            <w:r>
              <w:rPr>
                <w:rFonts w:hint="default" w:ascii="Times New Roman" w:hAnsi="Times New Roman" w:cs="Times New Roman"/>
                <w:spacing w:val="0"/>
                <w:sz w:val="21"/>
                <w:szCs w:val="21"/>
                <w:highlight w:val="none"/>
                <w:lang w:val="en-US" w:eastAsia="zh-CN"/>
              </w:rPr>
              <w:t>2022.06.1</w:t>
            </w:r>
            <w:r>
              <w:rPr>
                <w:rFonts w:hint="eastAsia" w:ascii="Times New Roman" w:hAnsi="Times New Roman" w:cs="Times New Roman"/>
                <w:spacing w:val="0"/>
                <w:sz w:val="21"/>
                <w:szCs w:val="21"/>
                <w:highlight w:val="none"/>
                <w:lang w:val="en-US" w:eastAsia="zh-CN"/>
              </w:rPr>
              <w:t>8</w:t>
            </w: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标干流量</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3210</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3228</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3195</w:t>
            </w:r>
          </w:p>
        </w:tc>
        <w:tc>
          <w:tcPr>
            <w:tcW w:w="600" w:type="dxa"/>
            <w:tcBorders>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3211</w:t>
            </w:r>
          </w:p>
        </w:tc>
        <w:tc>
          <w:tcPr>
            <w:tcW w:w="1546" w:type="dxa"/>
            <w:tcBorders>
              <w:left w:val="single" w:color="auto" w:sz="4" w:space="0"/>
              <w:right w:val="nil"/>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w:t>
            </w:r>
          </w:p>
        </w:tc>
        <w:tc>
          <w:tcPr>
            <w:tcW w:w="650"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highlight w:val="none"/>
                <w:lang w:val="en-US" w:eastAsia="zh-CN"/>
              </w:rPr>
            </w:pP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(以碳计)</w:t>
            </w:r>
            <w:r>
              <w:rPr>
                <w:rFonts w:hint="default" w:ascii="Times New Roman" w:hAnsi="Times New Roman" w:cs="Times New Roman"/>
                <w:sz w:val="21"/>
                <w:szCs w:val="21"/>
                <w:lang w:eastAsia="zh-CN"/>
              </w:rPr>
              <w:t>浓度</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6.20 </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6.14 </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6.18 </w:t>
            </w:r>
          </w:p>
        </w:tc>
        <w:tc>
          <w:tcPr>
            <w:tcW w:w="600" w:type="dxa"/>
            <w:tcBorders>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6.17</w:t>
            </w:r>
          </w:p>
        </w:tc>
        <w:tc>
          <w:tcPr>
            <w:tcW w:w="1546" w:type="dxa"/>
            <w:tcBorders>
              <w:left w:val="single" w:color="auto" w:sz="4" w:space="0"/>
              <w:right w:val="nil"/>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w:t>
            </w:r>
          </w:p>
        </w:tc>
        <w:tc>
          <w:tcPr>
            <w:tcW w:w="650"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restart"/>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color w:val="auto"/>
                <w:spacing w:val="0"/>
                <w:kern w:val="2"/>
                <w:sz w:val="21"/>
                <w:szCs w:val="21"/>
                <w:lang w:val="en-US" w:eastAsia="zh-CN" w:bidi="ar-SA"/>
              </w:rPr>
            </w:pPr>
            <w:r>
              <w:rPr>
                <w:rFonts w:hint="default" w:ascii="Times New Roman" w:hAnsi="Times New Roman" w:cs="Times New Roman"/>
                <w:color w:val="auto"/>
                <w:spacing w:val="0"/>
                <w:kern w:val="2"/>
                <w:sz w:val="21"/>
                <w:szCs w:val="21"/>
                <w:lang w:val="en-US" w:eastAsia="zh-CN" w:bidi="ar-SA"/>
              </w:rPr>
              <w:t>塑化工序废气处理设施出口</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highlight w:val="none"/>
                <w:lang w:val="en-US" w:eastAsia="zh-CN"/>
              </w:rPr>
            </w:pPr>
            <w:r>
              <w:rPr>
                <w:rFonts w:hint="default" w:ascii="Times New Roman" w:hAnsi="Times New Roman" w:cs="Times New Roman"/>
                <w:spacing w:val="0"/>
                <w:sz w:val="21"/>
                <w:szCs w:val="21"/>
                <w:highlight w:val="none"/>
                <w:lang w:val="en-US" w:eastAsia="zh-CN"/>
              </w:rPr>
              <w:t>2022.06.18</w:t>
            </w: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标干流量</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3018</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3025</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3026</w:t>
            </w:r>
          </w:p>
        </w:tc>
        <w:tc>
          <w:tcPr>
            <w:tcW w:w="600" w:type="dxa"/>
            <w:tcBorders>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3023</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GB15581-2016</w:t>
            </w:r>
          </w:p>
        </w:tc>
        <w:tc>
          <w:tcPr>
            <w:tcW w:w="650"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p>
        </w:tc>
        <w:tc>
          <w:tcPr>
            <w:tcW w:w="1912" w:type="dxa"/>
            <w:noWrap w:val="0"/>
            <w:tcMar>
              <w:top w:w="0" w:type="dxa"/>
              <w:left w:w="6" w:type="dxa"/>
              <w:bottom w:w="0" w:type="dxa"/>
              <w:right w:w="6" w:type="dxa"/>
            </w:tcMar>
            <w:vAlign w:val="center"/>
          </w:tcPr>
          <w:p>
            <w:pPr>
              <w:keepNext w:val="0"/>
              <w:keepLines w:val="0"/>
              <w:pageBreakBefore w:val="0"/>
              <w:kinsoku/>
              <w:wordWrap/>
              <w:overflowPunct/>
              <w:topLinePunct w:val="0"/>
              <w:autoSpaceDE/>
              <w:autoSpaceDN/>
              <w:bidi w:val="0"/>
              <w:spacing w:line="23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氯化氢</w:t>
            </w:r>
            <w:r>
              <w:rPr>
                <w:rFonts w:hint="default" w:ascii="Times New Roman" w:hAnsi="Times New Roman" w:cs="Times New Roman"/>
                <w:sz w:val="21"/>
                <w:szCs w:val="21"/>
              </w:rPr>
              <w:t>浓度</w:t>
            </w:r>
          </w:p>
        </w:tc>
        <w:tc>
          <w:tcPr>
            <w:tcW w:w="702" w:type="dxa"/>
            <w:noWrap w:val="0"/>
            <w:tcMar>
              <w:left w:w="6" w:type="dxa"/>
              <w:right w:w="6" w:type="dxa"/>
            </w:tcMar>
            <w:vAlign w:val="center"/>
          </w:tcPr>
          <w:p>
            <w:pPr>
              <w:keepNext w:val="0"/>
              <w:keepLines w:val="0"/>
              <w:pageBreakBefore w:val="0"/>
              <w:kinsoku/>
              <w:wordWrap/>
              <w:overflowPunct/>
              <w:topLinePunct w:val="0"/>
              <w:autoSpaceDE/>
              <w:autoSpaceDN/>
              <w:bidi w:val="0"/>
              <w:spacing w:line="23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3.7</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3.7</w:t>
            </w:r>
          </w:p>
        </w:tc>
        <w:tc>
          <w:tcPr>
            <w:tcW w:w="600" w:type="dxa"/>
            <w:tcBorders>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3.6</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w:t>
            </w:r>
          </w:p>
        </w:tc>
        <w:tc>
          <w:tcPr>
            <w:tcW w:w="65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p>
        </w:tc>
        <w:tc>
          <w:tcPr>
            <w:tcW w:w="1912" w:type="dxa"/>
            <w:noWrap w:val="0"/>
            <w:tcMar>
              <w:top w:w="0" w:type="dxa"/>
              <w:left w:w="6" w:type="dxa"/>
              <w:bottom w:w="0" w:type="dxa"/>
              <w:right w:w="6" w:type="dxa"/>
            </w:tcMar>
            <w:vAlign w:val="center"/>
          </w:tcPr>
          <w:p>
            <w:pPr>
              <w:keepNext w:val="0"/>
              <w:keepLines w:val="0"/>
              <w:pageBreakBefore w:val="0"/>
              <w:kinsoku/>
              <w:wordWrap/>
              <w:overflowPunct/>
              <w:topLinePunct w:val="0"/>
              <w:autoSpaceDE/>
              <w:autoSpaceDN/>
              <w:bidi w:val="0"/>
              <w:spacing w:line="23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氯化氢</w:t>
            </w: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tc>
        <w:tc>
          <w:tcPr>
            <w:tcW w:w="702" w:type="dxa"/>
            <w:noWrap w:val="0"/>
            <w:tcMar>
              <w:left w:w="6" w:type="dxa"/>
              <w:right w:w="6" w:type="dxa"/>
            </w:tcMar>
            <w:vAlign w:val="center"/>
          </w:tcPr>
          <w:p>
            <w:pPr>
              <w:keepNext w:val="0"/>
              <w:keepLines w:val="0"/>
              <w:pageBreakBefore w:val="0"/>
              <w:kinsoku/>
              <w:wordWrap/>
              <w:overflowPunct/>
              <w:topLinePunct w:val="0"/>
              <w:autoSpaceDE/>
              <w:autoSpaceDN/>
              <w:bidi w:val="0"/>
              <w:spacing w:line="23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kg/h</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0.011</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0.011</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0.011</w:t>
            </w:r>
          </w:p>
        </w:tc>
        <w:tc>
          <w:tcPr>
            <w:tcW w:w="600" w:type="dxa"/>
            <w:tcBorders>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0.011</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w:t>
            </w:r>
          </w:p>
        </w:tc>
        <w:tc>
          <w:tcPr>
            <w:tcW w:w="65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标干流量</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3023</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3020</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3028</w:t>
            </w:r>
          </w:p>
        </w:tc>
        <w:tc>
          <w:tcPr>
            <w:tcW w:w="600" w:type="dxa"/>
            <w:tcBorders>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3024</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w:t>
            </w:r>
          </w:p>
        </w:tc>
        <w:tc>
          <w:tcPr>
            <w:tcW w:w="65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氯乙烯</w:t>
            </w:r>
            <w:r>
              <w:rPr>
                <w:rFonts w:hint="default" w:ascii="Times New Roman" w:hAnsi="Times New Roman" w:cs="Times New Roman"/>
                <w:sz w:val="21"/>
                <w:szCs w:val="21"/>
                <w:lang w:val="en-US" w:eastAsia="zh-CN"/>
              </w:rPr>
              <w:t>浓度</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pacing w:val="0"/>
                <w:sz w:val="21"/>
                <w:szCs w:val="21"/>
              </w:rPr>
              <w:t>mg/m</w:t>
            </w:r>
            <w:r>
              <w:rPr>
                <w:rFonts w:hint="default" w:ascii="Times New Roman" w:hAnsi="Times New Roman" w:eastAsia="宋体" w:cs="Times New Roman"/>
                <w:spacing w:val="0"/>
                <w:sz w:val="21"/>
                <w:szCs w:val="21"/>
                <w:vertAlign w:val="superscript"/>
              </w:rPr>
              <w:t>3</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ND</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ND</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ND</w:t>
            </w:r>
          </w:p>
        </w:tc>
        <w:tc>
          <w:tcPr>
            <w:tcW w:w="600" w:type="dxa"/>
            <w:tcBorders>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ND</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GB15581-2016</w:t>
            </w:r>
            <w:r>
              <w:rPr>
                <w:rFonts w:hint="default" w:ascii="Times New Roman" w:hAnsi="Times New Roman" w:cs="Times New Roman"/>
                <w:sz w:val="21"/>
                <w:szCs w:val="21"/>
                <w:lang w:val="en-US" w:eastAsia="zh-CN"/>
              </w:rPr>
              <w:br w:type="textWrapping"/>
            </w:r>
            <w:r>
              <w:rPr>
                <w:rFonts w:hint="eastAsia" w:ascii="Times New Roman" w:hAnsi="Times New Roman" w:cs="Times New Roman"/>
                <w:sz w:val="21"/>
                <w:szCs w:val="21"/>
                <w:lang w:val="en-US" w:eastAsia="zh-CN"/>
              </w:rPr>
              <w:t>10</w:t>
            </w:r>
          </w:p>
        </w:tc>
        <w:tc>
          <w:tcPr>
            <w:tcW w:w="65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(以碳计)</w:t>
            </w:r>
            <w:r>
              <w:rPr>
                <w:rFonts w:hint="default" w:ascii="Times New Roman" w:hAnsi="Times New Roman" w:cs="Times New Roman"/>
                <w:sz w:val="21"/>
                <w:szCs w:val="21"/>
                <w:lang w:eastAsia="zh-CN"/>
              </w:rPr>
              <w:t>浓度</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1.66 </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1.64 </w:t>
            </w:r>
          </w:p>
        </w:tc>
        <w:tc>
          <w:tcPr>
            <w:tcW w:w="77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1.61</w:t>
            </w:r>
          </w:p>
        </w:tc>
        <w:tc>
          <w:tcPr>
            <w:tcW w:w="600" w:type="dxa"/>
            <w:tcBorders>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1.64</w:t>
            </w:r>
          </w:p>
        </w:tc>
        <w:tc>
          <w:tcPr>
            <w:tcW w:w="1546"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w:t>
            </w:r>
          </w:p>
        </w:tc>
        <w:tc>
          <w:tcPr>
            <w:tcW w:w="65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p>
        </w:tc>
        <w:tc>
          <w:tcPr>
            <w:tcW w:w="1912" w:type="dxa"/>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非甲烷总烃去除效率</w:t>
            </w:r>
          </w:p>
        </w:tc>
        <w:tc>
          <w:tcPr>
            <w:tcW w:w="70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2910" w:type="dxa"/>
            <w:gridSpan w:val="4"/>
            <w:tcBorders>
              <w:top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75.0</w:t>
            </w:r>
          </w:p>
        </w:tc>
        <w:tc>
          <w:tcPr>
            <w:tcW w:w="1546" w:type="dxa"/>
            <w:tcBorders>
              <w:left w:val="single" w:color="auto" w:sz="4" w:space="0"/>
              <w:right w:val="nil"/>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DB13/2322-2016</w:t>
            </w:r>
          </w:p>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90</w:t>
            </w:r>
          </w:p>
        </w:tc>
        <w:tc>
          <w:tcPr>
            <w:tcW w:w="650"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未达标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restart"/>
            <w:tcBorders>
              <w:top w:val="single" w:color="auto" w:sz="4" w:space="0"/>
              <w:left w:val="single" w:color="auto" w:sz="4" w:space="0"/>
            </w:tcBorders>
            <w:noWrap w:val="0"/>
            <w:tcMar>
              <w:left w:w="6" w:type="dxa"/>
              <w:right w:w="6"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主要污染物</w:t>
            </w:r>
          </w:p>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年排放量</w:t>
            </w:r>
          </w:p>
        </w:tc>
        <w:tc>
          <w:tcPr>
            <w:tcW w:w="1912" w:type="dxa"/>
            <w:noWrap w:val="0"/>
            <w:tcMar>
              <w:left w:w="6" w:type="dxa"/>
              <w:right w:w="6"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排气量</w:t>
            </w:r>
          </w:p>
        </w:tc>
        <w:tc>
          <w:tcPr>
            <w:tcW w:w="702" w:type="dxa"/>
            <w:noWrap w:val="0"/>
            <w:tcMar>
              <w:left w:w="6" w:type="dxa"/>
              <w:right w:w="6"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eastAsia="zh-CN"/>
              </w:rPr>
              <w:t>万</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w:t>
            </w:r>
          </w:p>
        </w:tc>
        <w:tc>
          <w:tcPr>
            <w:tcW w:w="5106" w:type="dxa"/>
            <w:gridSpan w:val="6"/>
            <w:tcBorders>
              <w:top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2172.24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rPr>
            </w:pPr>
          </w:p>
        </w:tc>
        <w:tc>
          <w:tcPr>
            <w:tcW w:w="191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氯化氢</w:t>
            </w:r>
          </w:p>
        </w:tc>
        <w:tc>
          <w:tcPr>
            <w:tcW w:w="702" w:type="dxa"/>
            <w:noWrap w:val="0"/>
            <w:tcMar>
              <w:left w:w="6" w:type="dxa"/>
              <w:right w:w="6"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t/a</w:t>
            </w:r>
          </w:p>
        </w:tc>
        <w:tc>
          <w:tcPr>
            <w:tcW w:w="5106" w:type="dxa"/>
            <w:gridSpan w:val="6"/>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0.0792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rPr>
            </w:pPr>
          </w:p>
        </w:tc>
        <w:tc>
          <w:tcPr>
            <w:tcW w:w="191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氯乙烯</w:t>
            </w:r>
          </w:p>
        </w:tc>
        <w:tc>
          <w:tcPr>
            <w:tcW w:w="702" w:type="dxa"/>
            <w:noWrap w:val="0"/>
            <w:tcMar>
              <w:left w:w="6" w:type="dxa"/>
              <w:right w:w="6"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t/a</w:t>
            </w:r>
          </w:p>
        </w:tc>
        <w:tc>
          <w:tcPr>
            <w:tcW w:w="5106" w:type="dxa"/>
            <w:gridSpan w:val="6"/>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8.64×10</w:t>
            </w:r>
            <w:r>
              <w:rPr>
                <w:rFonts w:hint="eastAsia" w:ascii="Times New Roman" w:hAnsi="Times New Roman" w:cs="Times New Roman"/>
                <w:sz w:val="2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vMerge w:val="continue"/>
            <w:tcBorders>
              <w:left w:val="single" w:color="auto" w:sz="4" w:space="0"/>
            </w:tcBorders>
            <w:noWrap w:val="0"/>
            <w:tcMar>
              <w:left w:w="6" w:type="dxa"/>
              <w:right w:w="6"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sz w:val="21"/>
                <w:szCs w:val="21"/>
              </w:rPr>
            </w:pPr>
          </w:p>
        </w:tc>
        <w:tc>
          <w:tcPr>
            <w:tcW w:w="1912"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非甲烷总烃</w:t>
            </w:r>
          </w:p>
        </w:tc>
        <w:tc>
          <w:tcPr>
            <w:tcW w:w="702" w:type="dxa"/>
            <w:noWrap w:val="0"/>
            <w:tcMar>
              <w:left w:w="6" w:type="dxa"/>
              <w:right w:w="6" w:type="dxa"/>
            </w:tcMar>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t/a</w:t>
            </w:r>
          </w:p>
        </w:tc>
        <w:tc>
          <w:tcPr>
            <w:tcW w:w="5106" w:type="dxa"/>
            <w:gridSpan w:val="6"/>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0.0342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85"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备注</w:t>
            </w:r>
          </w:p>
        </w:tc>
        <w:tc>
          <w:tcPr>
            <w:tcW w:w="7720" w:type="dxa"/>
            <w:gridSpan w:val="8"/>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highlight w:val="none"/>
                <w:lang w:eastAsia="zh-CN"/>
              </w:rPr>
              <w:t>年运行</w:t>
            </w:r>
            <w:r>
              <w:rPr>
                <w:rFonts w:hint="eastAsia" w:ascii="Times New Roman" w:hAnsi="Times New Roman" w:cs="Times New Roman"/>
                <w:sz w:val="21"/>
                <w:szCs w:val="21"/>
                <w:highlight w:val="none"/>
                <w:lang w:val="en-US" w:eastAsia="zh-CN"/>
              </w:rPr>
              <w:t>72</w:t>
            </w:r>
            <w:r>
              <w:rPr>
                <w:rFonts w:hint="default" w:ascii="Times New Roman" w:hAnsi="Times New Roman" w:cs="Times New Roman"/>
                <w:sz w:val="21"/>
                <w:szCs w:val="21"/>
                <w:highlight w:val="none"/>
                <w:lang w:val="en-US" w:eastAsia="zh-CN"/>
              </w:rPr>
              <w:t>00小时（企业提供）</w:t>
            </w:r>
            <w:r>
              <w:rPr>
                <w:rFonts w:hint="default" w:ascii="Times New Roman" w:hAnsi="Times New Roman" w:cs="Times New Roman"/>
                <w:sz w:val="21"/>
                <w:szCs w:val="21"/>
                <w:lang w:val="en-US" w:eastAsia="zh-CN"/>
              </w:rPr>
              <w:t>；非甲烷总烃</w:t>
            </w:r>
            <w:r>
              <w:rPr>
                <w:rFonts w:hint="eastAsia" w:ascii="Times New Roman" w:hAnsi="Times New Roman" w:cs="Times New Roman"/>
                <w:sz w:val="21"/>
                <w:szCs w:val="21"/>
                <w:lang w:val="en-US" w:eastAsia="zh-CN"/>
              </w:rPr>
              <w:t>执行</w:t>
            </w:r>
            <w:r>
              <w:rPr>
                <w:rFonts w:hint="default" w:ascii="Times New Roman" w:hAnsi="Times New Roman" w:cs="Times New Roman"/>
                <w:sz w:val="21"/>
                <w:szCs w:val="21"/>
                <w:lang w:val="en-US" w:eastAsia="zh-CN"/>
              </w:rPr>
              <w:t>《烧碱、聚氯乙烯工业污染物排放标准》（GB15581-2016）表4中大气污染物特别排放浓度限值及《工业企业挥发性有机物排放控制标准》（DB13/2322-2016）表1中有机化工业去除率要求</w:t>
            </w:r>
            <w:r>
              <w:rPr>
                <w:rFonts w:hint="eastAsia" w:ascii="Times New Roman" w:hAnsi="Times New Roman" w:cs="Times New Roman"/>
                <w:sz w:val="21"/>
                <w:szCs w:val="21"/>
                <w:lang w:val="en-US" w:eastAsia="zh-CN"/>
              </w:rPr>
              <w:t>；氯乙烯、氯化氢执行《烧碱、聚氯乙烯工业污染物排放标准》（GB15581-2016）中表4大气污染物特别排放浓度限值。</w:t>
            </w:r>
            <w:r>
              <w:rPr>
                <w:rFonts w:hint="eastAsia" w:ascii="Times New Roman" w:hAnsi="Times New Roman" w:cs="Times New Roman"/>
                <w:sz w:val="21"/>
                <w:szCs w:val="21"/>
                <w:highlight w:val="none"/>
                <w:lang w:val="en-US" w:eastAsia="zh-CN"/>
              </w:rPr>
              <w:t>非甲烷总烃去除效率未达标，加测车间有机废气，废气执行《工业企业挥发性有机物排放控制标准》（DB13/2322-2016）表3生产车间或生产设备边界大气污染物浓度限值及《挥发性有机物无组织排放控制标准》(GB 37822-2019)表A.1厂区内VOCs无组织特别排放限值。</w:t>
            </w:r>
          </w:p>
        </w:tc>
      </w:tr>
    </w:tbl>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3"/>
        <w:ind w:left="0" w:leftChars="0" w:right="0" w:rightChars="0" w:firstLine="0" w:firstLineChars="0"/>
        <w:jc w:val="center"/>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表7-</w:t>
      </w:r>
      <w:r>
        <w:rPr>
          <w:rFonts w:hint="default"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sz w:val="24"/>
          <w:szCs w:val="24"/>
          <w:lang w:eastAsia="zh-CN"/>
        </w:rPr>
        <w:t>厂界无组织废气</w:t>
      </w:r>
      <w:r>
        <w:rPr>
          <w:rFonts w:hint="default" w:ascii="Times New Roman" w:hAnsi="Times New Roman" w:eastAsia="宋体" w:cs="Times New Roman"/>
          <w:b/>
          <w:sz w:val="24"/>
          <w:szCs w:val="24"/>
        </w:rPr>
        <w:t>检测结果</w:t>
      </w:r>
      <w:r>
        <w:rPr>
          <w:rFonts w:hint="default" w:ascii="Times New Roman" w:hAnsi="Times New Roman" w:eastAsia="宋体" w:cs="Times New Roman"/>
          <w:b/>
          <w:sz w:val="24"/>
          <w:szCs w:val="24"/>
          <w:lang w:eastAsia="zh-CN"/>
        </w:rPr>
        <w:t>（</w:t>
      </w:r>
      <w:r>
        <w:rPr>
          <w:rFonts w:hint="default" w:ascii="Times New Roman" w:hAnsi="Times New Roman" w:eastAsia="宋体" w:cs="Times New Roman"/>
          <w:b/>
          <w:sz w:val="21"/>
          <w:szCs w:val="21"/>
        </w:rPr>
        <w:t>单位</w:t>
      </w:r>
      <w:r>
        <w:rPr>
          <w:rFonts w:hint="default" w:ascii="Times New Roman" w:hAnsi="Times New Roman" w:eastAsia="宋体" w:cs="Times New Roman"/>
          <w:b/>
          <w:sz w:val="21"/>
          <w:szCs w:val="21"/>
          <w:lang w:eastAsia="zh-CN"/>
        </w:rPr>
        <w:t>：</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sz w:val="24"/>
          <w:szCs w:val="24"/>
          <w:lang w:eastAsia="zh-CN"/>
        </w:rPr>
        <w:t>）</w:t>
      </w:r>
    </w:p>
    <w:tbl>
      <w:tblPr>
        <w:tblStyle w:val="22"/>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2212"/>
        <w:gridCol w:w="1204"/>
        <w:gridCol w:w="1204"/>
        <w:gridCol w:w="1205"/>
        <w:gridCol w:w="1087"/>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59" w:type="dxa"/>
            <w:gridSpan w:val="2"/>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rPr>
            </w:pPr>
            <w:r>
              <w:rPr>
                <w:rFonts w:hint="default" w:ascii="Times New Roman" w:hAnsi="Times New Roman" w:cs="Times New Roman"/>
                <w:lang w:eastAsia="zh-CN"/>
              </w:rPr>
              <w:t>检测</w:t>
            </w:r>
            <w:r>
              <w:rPr>
                <w:rFonts w:hint="default" w:ascii="Times New Roman" w:hAnsi="Times New Roman" w:cs="Times New Roman"/>
              </w:rPr>
              <w:t>时间、点位及项目</w:t>
            </w:r>
          </w:p>
        </w:tc>
        <w:tc>
          <w:tcPr>
            <w:tcW w:w="3613" w:type="dxa"/>
            <w:gridSpan w:val="3"/>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检测</w:t>
            </w:r>
            <w:r>
              <w:rPr>
                <w:rFonts w:hint="default" w:ascii="Times New Roman" w:hAnsi="Times New Roman" w:cs="Times New Roman"/>
              </w:rPr>
              <w:t>频次</w:t>
            </w:r>
            <w:r>
              <w:rPr>
                <w:rFonts w:hint="default" w:ascii="Times New Roman" w:hAnsi="Times New Roman" w:cs="Times New Roman"/>
                <w:lang w:eastAsia="zh-CN"/>
              </w:rPr>
              <w:t>及</w:t>
            </w:r>
            <w:r>
              <w:rPr>
                <w:rFonts w:hint="default" w:ascii="Times New Roman" w:hAnsi="Times New Roman" w:cs="Times New Roman"/>
              </w:rPr>
              <w:t>结果</w:t>
            </w:r>
          </w:p>
        </w:tc>
        <w:tc>
          <w:tcPr>
            <w:tcW w:w="1087" w:type="dxa"/>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标准限值</w:t>
            </w:r>
          </w:p>
        </w:tc>
        <w:tc>
          <w:tcPr>
            <w:tcW w:w="1366" w:type="dxa"/>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59" w:type="dxa"/>
            <w:gridSpan w:val="2"/>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rPr>
            </w:pPr>
          </w:p>
        </w:tc>
        <w:tc>
          <w:tcPr>
            <w:tcW w:w="1204"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rPr>
            </w:pPr>
            <w:r>
              <w:rPr>
                <w:rFonts w:hint="default" w:ascii="Times New Roman" w:hAnsi="Times New Roman" w:cs="Times New Roman"/>
              </w:rPr>
              <w:t>第一次</w:t>
            </w:r>
          </w:p>
        </w:tc>
        <w:tc>
          <w:tcPr>
            <w:tcW w:w="1204"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rPr>
            </w:pPr>
            <w:r>
              <w:rPr>
                <w:rFonts w:hint="default" w:ascii="Times New Roman" w:hAnsi="Times New Roman" w:cs="Times New Roman"/>
              </w:rPr>
              <w:t>第二次</w:t>
            </w:r>
          </w:p>
        </w:tc>
        <w:tc>
          <w:tcPr>
            <w:tcW w:w="1205"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rPr>
            </w:pPr>
            <w:r>
              <w:rPr>
                <w:rFonts w:hint="default" w:ascii="Times New Roman" w:hAnsi="Times New Roman" w:cs="Times New Roman"/>
              </w:rPr>
              <w:t>第三次</w:t>
            </w:r>
          </w:p>
        </w:tc>
        <w:tc>
          <w:tcPr>
            <w:tcW w:w="1087"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lang w:eastAsia="zh-CN"/>
              </w:rPr>
            </w:pPr>
          </w:p>
        </w:tc>
        <w:tc>
          <w:tcPr>
            <w:tcW w:w="1366"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下</w:t>
            </w:r>
            <w:r>
              <w:rPr>
                <w:rFonts w:hint="default" w:ascii="Times New Roman" w:hAnsi="Times New Roman" w:cs="Times New Roman"/>
                <w:lang w:val="en-US" w:eastAsia="zh-CN"/>
              </w:rPr>
              <w:t>风向1#</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2022.06.17</w:t>
            </w: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spacing w:val="0"/>
                <w:sz w:val="21"/>
                <w:szCs w:val="21"/>
                <w:lang w:val="en-US" w:eastAsia="zh-CN"/>
              </w:rPr>
            </w:pPr>
            <w:r>
              <w:rPr>
                <w:rFonts w:hint="eastAsia" w:cs="Times New Roman"/>
                <w:spacing w:val="0"/>
                <w:sz w:val="21"/>
                <w:szCs w:val="21"/>
                <w:lang w:val="en-US" w:eastAsia="zh-CN"/>
              </w:rPr>
              <w:t>非甲烷总烃（以碳计）</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0.97</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0.92</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1.00</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2.0</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cs="Times New Roman"/>
                <w:spacing w:val="0"/>
                <w:sz w:val="21"/>
                <w:szCs w:val="21"/>
                <w:lang w:val="en-US" w:eastAsia="zh-CN"/>
              </w:rPr>
            </w:pPr>
            <w:r>
              <w:rPr>
                <w:rFonts w:hint="eastAsia" w:cs="Times New Roman"/>
                <w:spacing w:val="0"/>
                <w:sz w:val="21"/>
                <w:szCs w:val="21"/>
                <w:lang w:val="en-US" w:eastAsia="zh-CN"/>
              </w:rPr>
              <w:t>氯化氢</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0.14</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0.15</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0.14</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0.2</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spacing w:val="0"/>
                <w:sz w:val="21"/>
                <w:szCs w:val="21"/>
                <w:lang w:val="en-US" w:eastAsia="zh-CN"/>
              </w:rPr>
            </w:pPr>
            <w:r>
              <w:rPr>
                <w:rFonts w:hint="eastAsia" w:cs="Times New Roman"/>
                <w:spacing w:val="0"/>
                <w:sz w:val="21"/>
                <w:szCs w:val="21"/>
                <w:lang w:val="en-US" w:eastAsia="zh-CN"/>
              </w:rPr>
              <w:t>氯乙烯</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ND</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ND</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ND</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0.15</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下风向2#</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2022.06.17</w:t>
            </w: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非甲烷总烃（以碳计）</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0.94</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0.88</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0.92</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val="en-US" w:eastAsia="zh-CN"/>
              </w:rPr>
              <w:t>2.0</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氯化氢</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0.15</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0.15</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0.15</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0.2</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氯乙烯</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0.15</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下风向3#</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2022.06.17</w:t>
            </w: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非甲烷总烃（以碳计）</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0.94</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0.74</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0.86</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val="en-US" w:eastAsia="zh-CN"/>
              </w:rPr>
              <w:t>2.0</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氯化氢</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0.14</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0.14</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0.15</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0.2</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氯乙烯</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0.15</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下</w:t>
            </w:r>
            <w:r>
              <w:rPr>
                <w:rFonts w:hint="default" w:ascii="Times New Roman" w:hAnsi="Times New Roman" w:cs="Times New Roman"/>
                <w:lang w:val="en-US" w:eastAsia="zh-CN"/>
              </w:rPr>
              <w:t>风向1#</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2022.06.18</w:t>
            </w: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非甲烷总烃（以碳计）</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1.00</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0.98</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1.00</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val="en-US" w:eastAsia="zh-CN"/>
              </w:rPr>
              <w:t>2.0</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氯化氢</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0.14</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0.13</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0.14</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0.2</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氯乙烯</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2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2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08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0.15</w:t>
            </w:r>
          </w:p>
        </w:tc>
        <w:tc>
          <w:tcPr>
            <w:tcW w:w="13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下风向2#</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2022.06.18</w:t>
            </w:r>
          </w:p>
        </w:tc>
        <w:tc>
          <w:tcPr>
            <w:tcW w:w="2212"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非甲烷总烃（以碳计）</w:t>
            </w:r>
          </w:p>
        </w:tc>
        <w:tc>
          <w:tcPr>
            <w:tcW w:w="1204"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1.18</w:t>
            </w:r>
          </w:p>
        </w:tc>
        <w:tc>
          <w:tcPr>
            <w:tcW w:w="1204"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1.01</w:t>
            </w:r>
          </w:p>
        </w:tc>
        <w:tc>
          <w:tcPr>
            <w:tcW w:w="1205"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1.01</w:t>
            </w:r>
          </w:p>
        </w:tc>
        <w:tc>
          <w:tcPr>
            <w:tcW w:w="1087" w:type="dxa"/>
            <w:tcBorders>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val="en-US" w:eastAsia="zh-CN"/>
              </w:rPr>
              <w:t>2.0</w:t>
            </w:r>
          </w:p>
        </w:tc>
        <w:tc>
          <w:tcPr>
            <w:tcW w:w="1366" w:type="dxa"/>
            <w:tcBorders>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氯化氢</w:t>
            </w:r>
          </w:p>
        </w:tc>
        <w:tc>
          <w:tcPr>
            <w:tcW w:w="1204"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0.14</w:t>
            </w:r>
          </w:p>
        </w:tc>
        <w:tc>
          <w:tcPr>
            <w:tcW w:w="1204"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0.15</w:t>
            </w:r>
          </w:p>
        </w:tc>
        <w:tc>
          <w:tcPr>
            <w:tcW w:w="1205"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0.14</w:t>
            </w:r>
          </w:p>
        </w:tc>
        <w:tc>
          <w:tcPr>
            <w:tcW w:w="1087" w:type="dxa"/>
            <w:tcBorders>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0.2</w:t>
            </w:r>
          </w:p>
        </w:tc>
        <w:tc>
          <w:tcPr>
            <w:tcW w:w="1366" w:type="dxa"/>
            <w:tcBorders>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氯乙烯</w:t>
            </w:r>
          </w:p>
        </w:tc>
        <w:tc>
          <w:tcPr>
            <w:tcW w:w="1204"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204"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205"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087" w:type="dxa"/>
            <w:tcBorders>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0.15</w:t>
            </w:r>
          </w:p>
        </w:tc>
        <w:tc>
          <w:tcPr>
            <w:tcW w:w="1366" w:type="dxa"/>
            <w:tcBorders>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下风向3#</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2022.06.18</w:t>
            </w:r>
          </w:p>
        </w:tc>
        <w:tc>
          <w:tcPr>
            <w:tcW w:w="2212"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非甲烷总烃（以碳计）</w:t>
            </w:r>
          </w:p>
        </w:tc>
        <w:tc>
          <w:tcPr>
            <w:tcW w:w="1204"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1.07</w:t>
            </w:r>
          </w:p>
        </w:tc>
        <w:tc>
          <w:tcPr>
            <w:tcW w:w="1204"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1.01</w:t>
            </w:r>
          </w:p>
        </w:tc>
        <w:tc>
          <w:tcPr>
            <w:tcW w:w="1205"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0.77</w:t>
            </w:r>
          </w:p>
        </w:tc>
        <w:tc>
          <w:tcPr>
            <w:tcW w:w="1087" w:type="dxa"/>
            <w:tcBorders>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val="en-US" w:eastAsia="zh-CN"/>
              </w:rPr>
              <w:t>2.0</w:t>
            </w:r>
          </w:p>
        </w:tc>
        <w:tc>
          <w:tcPr>
            <w:tcW w:w="1366" w:type="dxa"/>
            <w:tcBorders>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氯化氢</w:t>
            </w:r>
          </w:p>
        </w:tc>
        <w:tc>
          <w:tcPr>
            <w:tcW w:w="1204"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0.13</w:t>
            </w:r>
          </w:p>
        </w:tc>
        <w:tc>
          <w:tcPr>
            <w:tcW w:w="1204"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0.14</w:t>
            </w:r>
          </w:p>
        </w:tc>
        <w:tc>
          <w:tcPr>
            <w:tcW w:w="1205"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sz w:val="21"/>
                <w:szCs w:val="21"/>
                <w:lang w:val="en-US" w:eastAsia="zh-CN"/>
              </w:rPr>
              <w:t>0.13</w:t>
            </w:r>
          </w:p>
        </w:tc>
        <w:tc>
          <w:tcPr>
            <w:tcW w:w="1087" w:type="dxa"/>
            <w:tcBorders>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0.2</w:t>
            </w:r>
          </w:p>
        </w:tc>
        <w:tc>
          <w:tcPr>
            <w:tcW w:w="1366" w:type="dxa"/>
            <w:tcBorders>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cs="Times New Roman"/>
                <w:lang w:val="en-US" w:eastAsia="zh-CN"/>
              </w:rPr>
            </w:pPr>
          </w:p>
        </w:tc>
        <w:tc>
          <w:tcPr>
            <w:tcW w:w="2212"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cs="Times New Roman" w:asciiTheme="minorHAnsi" w:hAnsiTheme="minorHAnsi" w:eastAsiaTheme="minorEastAsia"/>
                <w:spacing w:val="0"/>
                <w:kern w:val="2"/>
                <w:sz w:val="21"/>
                <w:szCs w:val="21"/>
                <w:lang w:val="en-US" w:eastAsia="zh-CN" w:bidi="ar-SA"/>
              </w:rPr>
            </w:pPr>
            <w:r>
              <w:rPr>
                <w:rFonts w:hint="eastAsia" w:cs="Times New Roman"/>
                <w:spacing w:val="0"/>
                <w:sz w:val="21"/>
                <w:szCs w:val="21"/>
                <w:lang w:val="en-US" w:eastAsia="zh-CN"/>
              </w:rPr>
              <w:t>氯乙烯</w:t>
            </w:r>
          </w:p>
        </w:tc>
        <w:tc>
          <w:tcPr>
            <w:tcW w:w="1204"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204"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205" w:type="dxa"/>
            <w:tcBorders>
              <w:bottom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ND</w:t>
            </w:r>
          </w:p>
        </w:tc>
        <w:tc>
          <w:tcPr>
            <w:tcW w:w="1087" w:type="dxa"/>
            <w:tcBorders>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0.15</w:t>
            </w:r>
          </w:p>
        </w:tc>
        <w:tc>
          <w:tcPr>
            <w:tcW w:w="1366" w:type="dxa"/>
            <w:tcBorders>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lang w:val="en-US" w:eastAsia="zh-CN"/>
              </w:rPr>
            </w:pPr>
            <w:r>
              <w:rPr>
                <w:rFonts w:hint="default" w:ascii="Times New Roman" w:hAnsi="Times New Roman" w:cs="Times New Roman"/>
                <w:lang w:eastAsia="zh-CN"/>
              </w:rPr>
              <w:t>备注</w:t>
            </w:r>
          </w:p>
        </w:tc>
        <w:tc>
          <w:tcPr>
            <w:tcW w:w="8278" w:type="dxa"/>
            <w:gridSpan w:val="6"/>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outlineLvl w:val="9"/>
              <w:rPr>
                <w:rFonts w:hint="default" w:ascii="Times New Roman" w:hAnsi="Times New Roman" w:cs="Times New Roman"/>
                <w:lang w:val="en-US" w:eastAsia="zh-CN"/>
              </w:rPr>
            </w:pPr>
            <w:r>
              <w:rPr>
                <w:rFonts w:hint="eastAsia" w:cs="Times New Roman"/>
                <w:spacing w:val="0"/>
                <w:sz w:val="21"/>
                <w:szCs w:val="21"/>
                <w:lang w:val="en-US" w:eastAsia="zh-CN"/>
              </w:rPr>
              <w:t>非甲烷总烃</w:t>
            </w:r>
            <w:r>
              <w:rPr>
                <w:rFonts w:hint="default" w:ascii="Times New Roman" w:hAnsi="Times New Roman" w:cs="Times New Roman"/>
                <w:lang w:val="en-US" w:eastAsia="zh-CN"/>
              </w:rPr>
              <w:t>执行《工业企业挥发性有机物排放控制标准》（DB13/2322-2016）表2企业边界大气污染物浓度限值</w:t>
            </w:r>
            <w:r>
              <w:rPr>
                <w:rFonts w:hint="eastAsia" w:ascii="Times New Roman" w:hAnsi="Times New Roman" w:cs="Times New Roman"/>
                <w:lang w:val="en-US" w:eastAsia="zh-CN"/>
              </w:rPr>
              <w:t>；氯乙烯、氯化氢执行</w:t>
            </w:r>
            <w:r>
              <w:t>《烧碱、聚氯乙烯工业污染物排放标准》（GB15581-2016）表5企业边界大气污染物浓度限值</w:t>
            </w:r>
            <w:r>
              <w:rPr>
                <w:rFonts w:hint="eastAsia" w:ascii="Times New Roman" w:hAnsi="Times New Roman" w:cs="Times New Roman"/>
                <w:lang w:val="en-US" w:eastAsia="zh-CN"/>
              </w:rPr>
              <w:t>。</w:t>
            </w:r>
          </w:p>
        </w:tc>
      </w:tr>
    </w:tbl>
    <w:p>
      <w:pPr>
        <w:pStyle w:val="3"/>
        <w:ind w:left="0" w:leftChars="0" w:right="0" w:rightChars="0" w:firstLine="0" w:firstLineChars="0"/>
        <w:jc w:val="center"/>
        <w:rPr>
          <w:rFonts w:hint="default" w:ascii="Times New Roman" w:hAnsi="Times New Roman" w:eastAsia="宋体" w:cs="Times New Roman"/>
          <w:b/>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eastAsia" w:ascii="Times New Roman" w:hAnsi="Times New Roman" w:eastAsia="宋体" w:cs="Times New Roman"/>
          <w:b/>
          <w:kern w:val="2"/>
          <w:sz w:val="24"/>
          <w:szCs w:val="24"/>
          <w:lang w:val="en-US" w:eastAsia="zh-CN" w:bidi="ar-SA"/>
        </w:rPr>
      </w:pPr>
      <w:bookmarkStart w:id="241" w:name="_Toc8796"/>
      <w:bookmarkStart w:id="242" w:name="_Toc3240"/>
      <w:bookmarkStart w:id="243" w:name="_Toc7541"/>
      <w:bookmarkStart w:id="244" w:name="_Toc6567"/>
      <w:bookmarkStart w:id="245" w:name="_Toc497001489"/>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7-3</w:t>
      </w:r>
      <w:r>
        <w:rPr>
          <w:rFonts w:hint="default" w:ascii="Times New Roman" w:hAnsi="Times New Roman" w:eastAsia="宋体" w:cs="Times New Roman"/>
          <w:b/>
          <w:kern w:val="2"/>
          <w:sz w:val="24"/>
          <w:szCs w:val="24"/>
          <w:lang w:val="en-US" w:eastAsia="zh-CN" w:bidi="ar-SA"/>
        </w:rPr>
        <w:t>车间无组织废气检测结果（单位：mg/m</w:t>
      </w:r>
      <w:r>
        <w:rPr>
          <w:rFonts w:hint="default" w:ascii="Times New Roman" w:hAnsi="Times New Roman" w:eastAsia="宋体" w:cs="Times New Roman"/>
          <w:b/>
          <w:kern w:val="2"/>
          <w:sz w:val="24"/>
          <w:szCs w:val="24"/>
          <w:vertAlign w:val="superscript"/>
          <w:lang w:val="en-US" w:eastAsia="zh-CN" w:bidi="ar-SA"/>
        </w:rPr>
        <w:t>3</w:t>
      </w:r>
      <w:r>
        <w:rPr>
          <w:rFonts w:hint="default" w:ascii="Times New Roman" w:hAnsi="Times New Roman" w:eastAsia="宋体" w:cs="Times New Roman"/>
          <w:b/>
          <w:kern w:val="2"/>
          <w:sz w:val="24"/>
          <w:szCs w:val="24"/>
          <w:lang w:val="en-US" w:eastAsia="zh-CN" w:bidi="ar-SA"/>
        </w:rPr>
        <w:t>）</w:t>
      </w:r>
    </w:p>
    <w:tbl>
      <w:tblPr>
        <w:tblStyle w:val="22"/>
        <w:tblW w:w="9555"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964"/>
        <w:gridCol w:w="1237"/>
        <w:gridCol w:w="1237"/>
        <w:gridCol w:w="1238"/>
        <w:gridCol w:w="1250"/>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220" w:type="dxa"/>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lang w:eastAsia="zh-CN"/>
              </w:rPr>
              <w:t>检测</w:t>
            </w:r>
            <w:r>
              <w:rPr>
                <w:rFonts w:hint="default" w:ascii="Times New Roman" w:hAnsi="Times New Roman" w:eastAsia="宋体" w:cs="Times New Roman"/>
                <w:spacing w:val="0"/>
                <w:sz w:val="21"/>
                <w:szCs w:val="21"/>
              </w:rPr>
              <w:t>时间、点位及项目</w:t>
            </w:r>
          </w:p>
        </w:tc>
        <w:tc>
          <w:tcPr>
            <w:tcW w:w="633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lang w:eastAsia="zh-CN"/>
              </w:rPr>
              <w:t>检测频次及结果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220"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1237" w:type="dxa"/>
            <w:shd w:val="clear" w:color="auto" w:fill="auto"/>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1237" w:type="dxa"/>
            <w:shd w:val="clear" w:color="auto" w:fill="auto"/>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1238" w:type="dxa"/>
            <w:shd w:val="clear" w:color="auto" w:fill="auto"/>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1250" w:type="dxa"/>
            <w:shd w:val="clear" w:color="auto" w:fill="auto"/>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标准限值</w:t>
            </w:r>
          </w:p>
        </w:tc>
        <w:tc>
          <w:tcPr>
            <w:tcW w:w="1373" w:type="dxa"/>
            <w:shd w:val="clear" w:color="auto" w:fill="auto"/>
            <w:vAlign w:val="center"/>
          </w:tcPr>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生产车间北门口4#</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kern w:val="2"/>
                <w:sz w:val="21"/>
                <w:szCs w:val="21"/>
                <w:lang w:val="en-US" w:eastAsia="zh-CN" w:bidi="ar-SA"/>
              </w:rPr>
            </w:pPr>
            <w:r>
              <w:rPr>
                <w:rFonts w:hint="default" w:ascii="Times New Roman" w:hAnsi="Times New Roman" w:cs="Times New Roman"/>
                <w:color w:val="auto"/>
                <w:sz w:val="21"/>
                <w:szCs w:val="21"/>
                <w:lang w:val="en-US" w:eastAsia="zh-CN"/>
              </w:rPr>
              <w:t>2022.06.17</w:t>
            </w:r>
          </w:p>
        </w:tc>
        <w:tc>
          <w:tcPr>
            <w:tcW w:w="196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非甲烷总烃</w:t>
            </w:r>
            <w:r>
              <w:rPr>
                <w:rFonts w:hint="default" w:ascii="Times New Roman" w:hAnsi="Times New Roman" w:eastAsia="宋体" w:cs="Times New Roman"/>
                <w:spacing w:val="0"/>
                <w:sz w:val="21"/>
                <w:szCs w:val="21"/>
                <w:lang w:val="en-US" w:eastAsia="zh-CN"/>
              </w:rPr>
              <w:t>(以碳计)</w:t>
            </w:r>
          </w:p>
        </w:tc>
        <w:tc>
          <w:tcPr>
            <w:tcW w:w="123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1.16</w:t>
            </w:r>
          </w:p>
        </w:tc>
        <w:tc>
          <w:tcPr>
            <w:tcW w:w="123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1.15</w:t>
            </w:r>
          </w:p>
        </w:tc>
        <w:tc>
          <w:tcPr>
            <w:tcW w:w="12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1.23</w:t>
            </w:r>
          </w:p>
        </w:tc>
        <w:tc>
          <w:tcPr>
            <w:tcW w:w="125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z w:val="21"/>
                <w:szCs w:val="21"/>
                <w:lang w:val="en-US" w:eastAsia="zh-CN"/>
              </w:rPr>
              <w:t>4.0</w:t>
            </w:r>
          </w:p>
        </w:tc>
        <w:tc>
          <w:tcPr>
            <w:tcW w:w="1373" w:type="dxa"/>
            <w:shd w:val="clear" w:color="auto" w:fill="auto"/>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生产车间北门口4#</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kern w:val="2"/>
                <w:sz w:val="21"/>
                <w:szCs w:val="21"/>
                <w:lang w:val="en-US" w:eastAsia="zh-CN" w:bidi="ar-SA"/>
              </w:rPr>
            </w:pPr>
            <w:r>
              <w:rPr>
                <w:rFonts w:hint="default" w:ascii="Times New Roman" w:hAnsi="Times New Roman" w:cs="Times New Roman"/>
                <w:color w:val="auto"/>
                <w:sz w:val="21"/>
                <w:szCs w:val="21"/>
                <w:lang w:val="en-US" w:eastAsia="zh-CN"/>
              </w:rPr>
              <w:t>2022.06.18</w:t>
            </w:r>
          </w:p>
        </w:tc>
        <w:tc>
          <w:tcPr>
            <w:tcW w:w="196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非甲烷总烃</w:t>
            </w:r>
            <w:r>
              <w:rPr>
                <w:rFonts w:hint="default" w:ascii="Times New Roman" w:hAnsi="Times New Roman" w:eastAsia="宋体" w:cs="Times New Roman"/>
                <w:spacing w:val="0"/>
                <w:sz w:val="21"/>
                <w:szCs w:val="21"/>
                <w:lang w:val="en-US" w:eastAsia="zh-CN"/>
              </w:rPr>
              <w:t>(以碳计)</w:t>
            </w:r>
          </w:p>
        </w:tc>
        <w:tc>
          <w:tcPr>
            <w:tcW w:w="123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1.33</w:t>
            </w:r>
          </w:p>
        </w:tc>
        <w:tc>
          <w:tcPr>
            <w:tcW w:w="123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1.33</w:t>
            </w:r>
          </w:p>
        </w:tc>
        <w:tc>
          <w:tcPr>
            <w:tcW w:w="12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1.34</w:t>
            </w:r>
          </w:p>
        </w:tc>
        <w:tc>
          <w:tcPr>
            <w:tcW w:w="125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73" w:type="dxa"/>
            <w:shd w:val="clear" w:color="auto" w:fill="auto"/>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6" w:type="dxa"/>
            <w:shd w:val="clear" w:color="auto" w:fill="auto"/>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8299" w:type="dxa"/>
            <w:gridSpan w:val="6"/>
            <w:shd w:val="clear" w:color="auto" w:fill="auto"/>
            <w:tcMar>
              <w:top w:w="0" w:type="dxa"/>
              <w:left w:w="0" w:type="dxa"/>
              <w:bottom w:w="0" w:type="dxa"/>
              <w:right w:w="0" w:type="dxa"/>
            </w:tcMar>
            <w:vAlign w:val="center"/>
          </w:tcPr>
          <w:p>
            <w:pPr>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执行</w:t>
            </w:r>
            <w:r>
              <w:rPr>
                <w:rFonts w:hint="default" w:ascii="Times New Roman" w:hAnsi="Times New Roman" w:eastAsia="宋体" w:cs="Times New Roman"/>
                <w:sz w:val="21"/>
                <w:szCs w:val="21"/>
              </w:rPr>
              <w:t>《工业企业挥发性有机物排放控制标准》（DB13/2322-2016）</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3生产车间或生产设备边界大气污染物浓度限值及</w:t>
            </w:r>
            <w:r>
              <w:rPr>
                <w:rFonts w:hint="default" w:ascii="Times New Roman" w:hAnsi="Times New Roman" w:eastAsia="宋体" w:cs="Times New Roman"/>
                <w:sz w:val="21"/>
                <w:szCs w:val="21"/>
              </w:rPr>
              <w:t>《挥发性有机物无组织排放控制标准》(GB</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37822-2019)表A.1厂区内VOCs无组织特别排放限值</w:t>
            </w:r>
            <w:r>
              <w:rPr>
                <w:rFonts w:hint="default" w:ascii="Times New Roman" w:hAnsi="Times New Roman" w:eastAsia="宋体" w:cs="Times New Roman"/>
                <w:sz w:val="21"/>
                <w:szCs w:val="21"/>
                <w:lang w:eastAsia="zh-CN"/>
              </w:rPr>
              <w:t>。</w:t>
            </w:r>
          </w:p>
        </w:tc>
      </w:tr>
    </w:tbl>
    <w:p>
      <w:pPr>
        <w:pStyle w:val="7"/>
        <w:rPr>
          <w:rFonts w:hint="default" w:ascii="Times New Roman" w:hAnsi="Times New Roman" w:eastAsia="宋体" w:cs="Times New Roman"/>
        </w:rPr>
      </w:pPr>
      <w:bookmarkStart w:id="246" w:name="_Toc7537"/>
      <w:r>
        <w:rPr>
          <w:rFonts w:hint="default" w:ascii="Times New Roman" w:hAnsi="Times New Roman" w:eastAsia="宋体" w:cs="Times New Roman"/>
        </w:rPr>
        <w:t>7.1.2 噪声检测结果</w:t>
      </w:r>
      <w:bookmarkEnd w:id="241"/>
      <w:bookmarkEnd w:id="242"/>
      <w:bookmarkEnd w:id="243"/>
      <w:bookmarkEnd w:id="244"/>
      <w:bookmarkEnd w:id="245"/>
      <w:bookmarkEnd w:id="246"/>
    </w:p>
    <w:p>
      <w:pPr>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 7-</w:t>
      </w:r>
      <w:r>
        <w:rPr>
          <w:rFonts w:hint="eastAsia" w:ascii="Times New Roman" w:hAnsi="Times New Roman" w:cs="Times New Roman"/>
          <w:b/>
          <w:sz w:val="24"/>
          <w:szCs w:val="24"/>
          <w:lang w:val="en-US" w:eastAsia="zh-CN"/>
        </w:rPr>
        <w:t>4</w:t>
      </w:r>
      <w:r>
        <w:rPr>
          <w:rFonts w:hint="default" w:ascii="Times New Roman" w:hAnsi="Times New Roman" w:eastAsia="宋体" w:cs="Times New Roman"/>
          <w:b/>
          <w:sz w:val="24"/>
          <w:szCs w:val="24"/>
        </w:rPr>
        <w:t xml:space="preserve"> 厂界噪声检测结果</w:t>
      </w:r>
    </w:p>
    <w:tbl>
      <w:tblPr>
        <w:tblStyle w:val="22"/>
        <w:tblpPr w:leftFromText="180" w:rightFromText="180" w:vertAnchor="text" w:tblpX="-87" w:tblpY="1"/>
        <w:tblOverlap w:val="never"/>
        <w:tblW w:w="9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319"/>
        <w:gridCol w:w="2000"/>
        <w:gridCol w:w="1775"/>
        <w:gridCol w:w="1700"/>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682" w:type="dxa"/>
            <w:gridSpan w:val="3"/>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lang w:eastAsia="zh-CN"/>
              </w:rPr>
              <w:t>检测</w:t>
            </w:r>
            <w:r>
              <w:rPr>
                <w:rFonts w:hint="default" w:ascii="Times New Roman" w:hAnsi="Times New Roman" w:cs="Times New Roman"/>
              </w:rPr>
              <w:t>时间</w:t>
            </w:r>
            <w:r>
              <w:rPr>
                <w:rFonts w:hint="default" w:ascii="Times New Roman" w:hAnsi="Times New Roman" w:cs="Times New Roman"/>
                <w:lang w:eastAsia="zh-CN"/>
              </w:rPr>
              <w:t>及点位</w:t>
            </w:r>
          </w:p>
        </w:tc>
        <w:tc>
          <w:tcPr>
            <w:tcW w:w="1775" w:type="dxa"/>
            <w:tcBorders>
              <w:tl2br w:val="nil"/>
              <w:tr2bl w:val="nil"/>
            </w:tcBorders>
            <w:vAlign w:val="center"/>
          </w:tcPr>
          <w:p>
            <w:pPr>
              <w:jc w:val="center"/>
              <w:rPr>
                <w:rFonts w:hint="default" w:ascii="Times New Roman" w:hAnsi="Times New Roman" w:cs="Times New Roman"/>
                <w:lang w:eastAsia="zh-CN"/>
              </w:rPr>
            </w:pPr>
            <w:r>
              <w:rPr>
                <w:rFonts w:hint="default" w:ascii="Times New Roman" w:hAnsi="Times New Roman" w:cs="Times New Roman"/>
                <w:lang w:eastAsia="zh-CN"/>
              </w:rPr>
              <w:t>检测</w:t>
            </w:r>
            <w:r>
              <w:rPr>
                <w:rFonts w:hint="default" w:ascii="Times New Roman" w:hAnsi="Times New Roman" w:cs="Times New Roman"/>
              </w:rPr>
              <w:t>结果</w:t>
            </w:r>
          </w:p>
        </w:tc>
        <w:tc>
          <w:tcPr>
            <w:tcW w:w="1700" w:type="dxa"/>
            <w:tcBorders>
              <w:tl2br w:val="nil"/>
              <w:tr2bl w:val="nil"/>
            </w:tcBorders>
            <w:vAlign w:val="center"/>
          </w:tcPr>
          <w:p>
            <w:pPr>
              <w:jc w:val="center"/>
              <w:rPr>
                <w:rFonts w:hint="default" w:ascii="Times New Roman" w:hAnsi="Times New Roman" w:cs="Times New Roman"/>
                <w:lang w:eastAsia="zh-CN"/>
              </w:rPr>
            </w:pPr>
            <w:r>
              <w:rPr>
                <w:rFonts w:hint="default" w:ascii="Times New Roman" w:hAnsi="Times New Roman" w:cs="Times New Roman"/>
                <w:lang w:eastAsia="zh-CN"/>
              </w:rPr>
              <w:t>标准限值</w:t>
            </w:r>
          </w:p>
        </w:tc>
        <w:tc>
          <w:tcPr>
            <w:tcW w:w="1400" w:type="dxa"/>
            <w:tcBorders>
              <w:tl2br w:val="nil"/>
              <w:tr2bl w:val="nil"/>
            </w:tcBorders>
            <w:vAlign w:val="center"/>
          </w:tcPr>
          <w:p>
            <w:pPr>
              <w:jc w:val="center"/>
              <w:rPr>
                <w:rFonts w:hint="default" w:ascii="Times New Roman" w:hAnsi="Times New Roman" w:cs="Times New Roman"/>
                <w:lang w:eastAsia="zh-CN"/>
              </w:rPr>
            </w:pPr>
            <w:r>
              <w:rPr>
                <w:rFonts w:hint="default" w:ascii="Times New Roman" w:hAnsi="Times New Roman" w:cs="Times New Roman"/>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restart"/>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2022.06.17</w:t>
            </w:r>
          </w:p>
        </w:tc>
        <w:tc>
          <w:tcPr>
            <w:tcW w:w="1319"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r>
              <w:rPr>
                <w:rFonts w:hint="default" w:ascii="Times New Roman" w:hAnsi="Times New Roman" w:cs="Times New Roman"/>
                <w:color w:val="auto"/>
                <w:spacing w:val="0"/>
                <w:sz w:val="21"/>
                <w:szCs w:val="21"/>
                <w:lang w:val="en-US" w:eastAsia="zh-CN"/>
              </w:rPr>
              <w:t>北</w:t>
            </w:r>
            <w:r>
              <w:rPr>
                <w:rFonts w:hint="default" w:ascii="Times New Roman" w:hAnsi="Times New Roman" w:eastAsia="宋体" w:cs="Times New Roman"/>
                <w:color w:val="auto"/>
                <w:spacing w:val="0"/>
                <w:sz w:val="21"/>
                <w:szCs w:val="21"/>
                <w:lang w:val="en-US" w:eastAsia="zh-CN"/>
              </w:rPr>
              <w:t>侧）</w:t>
            </w: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昼间08:09~08:14</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56.9</w:t>
            </w:r>
          </w:p>
        </w:tc>
        <w:tc>
          <w:tcPr>
            <w:tcW w:w="1700" w:type="dxa"/>
            <w:vMerge w:val="restart"/>
            <w:tcBorders>
              <w:tl2br w:val="nil"/>
              <w:tr2bl w:val="nil"/>
            </w:tcBorders>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highlight w:val="none"/>
                <w:lang w:val="en-US" w:eastAsia="zh-CN"/>
              </w:rPr>
              <w:t>昼间≤60</w:t>
            </w:r>
            <w:r>
              <w:rPr>
                <w:rFonts w:hint="default" w:ascii="Times New Roman" w:hAnsi="Times New Roman" w:cs="Times New Roman"/>
                <w:highlight w:val="none"/>
                <w:lang w:val="en-US" w:eastAsia="zh-CN"/>
              </w:rPr>
              <w:br w:type="textWrapping"/>
            </w:r>
            <w:r>
              <w:rPr>
                <w:rFonts w:hint="eastAsia" w:ascii="Times New Roman" w:hAnsi="Times New Roman" w:cs="Times New Roman"/>
                <w:highlight w:val="none"/>
                <w:lang w:val="en-US" w:eastAsia="zh-CN"/>
              </w:rPr>
              <w:t>夜间</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50</w:t>
            </w:r>
          </w:p>
        </w:tc>
        <w:tc>
          <w:tcPr>
            <w:tcW w:w="140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pPr>
          </w:p>
        </w:tc>
        <w:tc>
          <w:tcPr>
            <w:tcW w:w="1319" w:type="dxa"/>
            <w:vMerge w:val="continue"/>
            <w:tcBorders>
              <w:tl2br w:val="nil"/>
              <w:tr2bl w:val="nil"/>
            </w:tcBorders>
            <w:vAlign w:val="center"/>
          </w:tcPr>
          <w:p>
            <w:pPr>
              <w:jc w:val="center"/>
              <w:rPr>
                <w:rFonts w:hint="default" w:ascii="Times New Roman" w:hAnsi="Times New Roman" w:cs="Times New Roman"/>
                <w:sz w:val="21"/>
                <w:szCs w:val="21"/>
              </w:rPr>
            </w:pP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夜间22:05~22:10</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48.9</w:t>
            </w:r>
          </w:p>
        </w:tc>
        <w:tc>
          <w:tcPr>
            <w:tcW w:w="1700" w:type="dxa"/>
            <w:vMerge w:val="continue"/>
            <w:tcBorders>
              <w:tl2br w:val="nil"/>
              <w:tr2bl w:val="nil"/>
            </w:tcBorders>
            <w:vAlign w:val="center"/>
          </w:tcPr>
          <w:p>
            <w:pPr>
              <w:jc w:val="center"/>
              <w:rPr>
                <w:rFonts w:hint="default" w:ascii="Times New Roman" w:hAnsi="Times New Roman" w:cs="Times New Roman"/>
                <w:sz w:val="21"/>
                <w:szCs w:val="21"/>
                <w:lang w:val="en-US" w:eastAsia="zh-CN"/>
              </w:rPr>
            </w:pPr>
          </w:p>
        </w:tc>
        <w:tc>
          <w:tcPr>
            <w:tcW w:w="1400"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9" w:type="dxa"/>
            <w:vMerge w:val="restart"/>
            <w:tcBorders>
              <w:tl2br w:val="nil"/>
              <w:tr2bl w:val="nil"/>
            </w:tcBorders>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spacing w:val="0"/>
                <w:sz w:val="21"/>
                <w:szCs w:val="21"/>
                <w:lang w:val="en-US" w:eastAsia="zh-CN"/>
              </w:rPr>
              <w:t>2#（</w:t>
            </w:r>
            <w:r>
              <w:rPr>
                <w:rFonts w:hint="default" w:ascii="Times New Roman" w:hAnsi="Times New Roman" w:cs="Times New Roman"/>
                <w:color w:val="auto"/>
                <w:spacing w:val="0"/>
                <w:sz w:val="21"/>
                <w:szCs w:val="21"/>
                <w:lang w:val="en-US" w:eastAsia="zh-CN"/>
              </w:rPr>
              <w:t>西</w:t>
            </w:r>
            <w:r>
              <w:rPr>
                <w:rFonts w:hint="default" w:ascii="Times New Roman" w:hAnsi="Times New Roman" w:eastAsia="宋体" w:cs="Times New Roman"/>
                <w:color w:val="auto"/>
                <w:spacing w:val="0"/>
                <w:sz w:val="21"/>
                <w:szCs w:val="21"/>
                <w:lang w:val="en-US" w:eastAsia="zh-CN"/>
              </w:rPr>
              <w:t>侧）</w:t>
            </w: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昼间08:19~08:24</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58.8</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pPr>
          </w:p>
        </w:tc>
        <w:tc>
          <w:tcPr>
            <w:tcW w:w="1319" w:type="dxa"/>
            <w:vMerge w:val="continue"/>
            <w:tcBorders>
              <w:tl2br w:val="nil"/>
              <w:tr2bl w:val="nil"/>
            </w:tcBorders>
            <w:vAlign w:val="center"/>
          </w:tcPr>
          <w:p>
            <w:pPr>
              <w:jc w:val="center"/>
              <w:rPr>
                <w:rFonts w:hint="default" w:ascii="Times New Roman" w:hAnsi="Times New Roman" w:cs="Times New Roman"/>
                <w:sz w:val="21"/>
                <w:szCs w:val="21"/>
              </w:rPr>
            </w:pP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夜间22:15~22:20</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48.1</w:t>
            </w:r>
          </w:p>
        </w:tc>
        <w:tc>
          <w:tcPr>
            <w:tcW w:w="1700" w:type="dxa"/>
            <w:vMerge w:val="continue"/>
            <w:tcBorders>
              <w:tl2br w:val="nil"/>
              <w:tr2bl w:val="nil"/>
            </w:tcBorders>
            <w:vAlign w:val="center"/>
          </w:tcPr>
          <w:p>
            <w:pPr>
              <w:jc w:val="center"/>
              <w:rPr>
                <w:rFonts w:hint="default" w:ascii="Times New Roman" w:hAnsi="Times New Roman" w:cs="Times New Roman"/>
                <w:sz w:val="21"/>
                <w:szCs w:val="21"/>
                <w:lang w:val="en-US" w:eastAsia="zh-CN"/>
              </w:rPr>
            </w:pPr>
          </w:p>
        </w:tc>
        <w:tc>
          <w:tcPr>
            <w:tcW w:w="1400"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9"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r>
              <w:rPr>
                <w:rFonts w:hint="default" w:ascii="Times New Roman" w:hAnsi="Times New Roman" w:cs="Times New Roman"/>
                <w:color w:val="auto"/>
                <w:spacing w:val="0"/>
                <w:sz w:val="21"/>
                <w:szCs w:val="21"/>
                <w:lang w:val="en-US" w:eastAsia="zh-CN"/>
              </w:rPr>
              <w:t>南</w:t>
            </w:r>
            <w:r>
              <w:rPr>
                <w:rFonts w:hint="default" w:ascii="Times New Roman" w:hAnsi="Times New Roman" w:eastAsia="宋体" w:cs="Times New Roman"/>
                <w:color w:val="auto"/>
                <w:spacing w:val="0"/>
                <w:sz w:val="21"/>
                <w:szCs w:val="21"/>
                <w:lang w:val="en-US" w:eastAsia="zh-CN"/>
              </w:rPr>
              <w:t>侧）</w:t>
            </w: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昼间08:28~08:33</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56.4</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pPr>
          </w:p>
        </w:tc>
        <w:tc>
          <w:tcPr>
            <w:tcW w:w="1319" w:type="dxa"/>
            <w:vMerge w:val="continue"/>
            <w:tcBorders>
              <w:tl2br w:val="nil"/>
              <w:tr2bl w:val="nil"/>
            </w:tcBorders>
            <w:vAlign w:val="center"/>
          </w:tcPr>
          <w:p>
            <w:pPr>
              <w:jc w:val="center"/>
              <w:rPr>
                <w:rFonts w:hint="default" w:ascii="Times New Roman" w:hAnsi="Times New Roman" w:cs="Times New Roman"/>
                <w:sz w:val="21"/>
                <w:szCs w:val="21"/>
              </w:rPr>
            </w:pP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夜间22:25~22:30</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48.7</w:t>
            </w:r>
          </w:p>
        </w:tc>
        <w:tc>
          <w:tcPr>
            <w:tcW w:w="1700" w:type="dxa"/>
            <w:vMerge w:val="continue"/>
            <w:tcBorders>
              <w:tl2br w:val="nil"/>
              <w:tr2bl w:val="nil"/>
            </w:tcBorders>
            <w:vAlign w:val="center"/>
          </w:tcPr>
          <w:p>
            <w:pPr>
              <w:jc w:val="center"/>
              <w:rPr>
                <w:rFonts w:hint="default" w:ascii="Times New Roman" w:hAnsi="Times New Roman" w:cs="Times New Roman"/>
                <w:sz w:val="21"/>
                <w:szCs w:val="21"/>
                <w:lang w:val="en-US" w:eastAsia="zh-CN"/>
              </w:rPr>
            </w:pPr>
          </w:p>
        </w:tc>
        <w:tc>
          <w:tcPr>
            <w:tcW w:w="1400"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rPr>
                <w:rFonts w:hint="default" w:ascii="Times New Roman" w:hAnsi="Times New Roman" w:cs="Times New Roman"/>
                <w:lang w:val="en-US" w:eastAsia="zh-CN"/>
              </w:rPr>
            </w:pPr>
          </w:p>
        </w:tc>
        <w:tc>
          <w:tcPr>
            <w:tcW w:w="1319" w:type="dxa"/>
            <w:vMerge w:val="restart"/>
            <w:tcBorders>
              <w:tl2br w:val="nil"/>
              <w:tr2bl w:val="nil"/>
            </w:tcBorders>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spacing w:val="0"/>
                <w:sz w:val="21"/>
                <w:szCs w:val="21"/>
                <w:lang w:val="en-US" w:eastAsia="zh-CN"/>
              </w:rPr>
              <w:t>4#（</w:t>
            </w:r>
            <w:r>
              <w:rPr>
                <w:rFonts w:hint="default" w:ascii="Times New Roman" w:hAnsi="Times New Roman" w:cs="Times New Roman"/>
                <w:color w:val="auto"/>
                <w:spacing w:val="0"/>
                <w:sz w:val="21"/>
                <w:szCs w:val="21"/>
                <w:lang w:val="en-US" w:eastAsia="zh-CN"/>
              </w:rPr>
              <w:t>东</w:t>
            </w:r>
            <w:r>
              <w:rPr>
                <w:rFonts w:hint="default" w:ascii="Times New Roman" w:hAnsi="Times New Roman" w:eastAsia="宋体" w:cs="Times New Roman"/>
                <w:color w:val="auto"/>
                <w:spacing w:val="0"/>
                <w:sz w:val="21"/>
                <w:szCs w:val="21"/>
                <w:lang w:val="en-US" w:eastAsia="zh-CN"/>
              </w:rPr>
              <w:t>侧）</w:t>
            </w: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昼间08:39~08:44</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56.4</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pPr>
          </w:p>
        </w:tc>
        <w:tc>
          <w:tcPr>
            <w:tcW w:w="1319" w:type="dxa"/>
            <w:vMerge w:val="continue"/>
            <w:tcBorders>
              <w:tl2br w:val="nil"/>
              <w:tr2bl w:val="nil"/>
            </w:tcBorders>
            <w:vAlign w:val="center"/>
          </w:tcPr>
          <w:p>
            <w:pPr>
              <w:jc w:val="center"/>
              <w:rPr>
                <w:rFonts w:hint="default" w:ascii="Times New Roman" w:hAnsi="Times New Roman" w:cs="Times New Roman"/>
                <w:sz w:val="21"/>
                <w:szCs w:val="21"/>
              </w:rPr>
            </w:pP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夜间22:36~22:41</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49.2</w:t>
            </w:r>
          </w:p>
        </w:tc>
        <w:tc>
          <w:tcPr>
            <w:tcW w:w="1700" w:type="dxa"/>
            <w:vMerge w:val="continue"/>
            <w:tcBorders>
              <w:tl2br w:val="nil"/>
              <w:tr2bl w:val="nil"/>
            </w:tcBorders>
            <w:vAlign w:val="center"/>
          </w:tcPr>
          <w:p>
            <w:pPr>
              <w:jc w:val="center"/>
              <w:rPr>
                <w:rFonts w:hint="default" w:ascii="Times New Roman" w:hAnsi="Times New Roman" w:cs="Times New Roman"/>
                <w:sz w:val="21"/>
                <w:szCs w:val="21"/>
                <w:lang w:val="en-US" w:eastAsia="zh-CN"/>
              </w:rPr>
            </w:pPr>
          </w:p>
        </w:tc>
        <w:tc>
          <w:tcPr>
            <w:tcW w:w="1400"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restart"/>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2022.06.18</w:t>
            </w:r>
          </w:p>
        </w:tc>
        <w:tc>
          <w:tcPr>
            <w:tcW w:w="1319"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r>
              <w:rPr>
                <w:rFonts w:hint="default" w:ascii="Times New Roman" w:hAnsi="Times New Roman" w:cs="Times New Roman"/>
                <w:color w:val="auto"/>
                <w:spacing w:val="0"/>
                <w:sz w:val="21"/>
                <w:szCs w:val="21"/>
                <w:lang w:val="en-US" w:eastAsia="zh-CN"/>
              </w:rPr>
              <w:t>北</w:t>
            </w:r>
            <w:r>
              <w:rPr>
                <w:rFonts w:hint="default" w:ascii="Times New Roman" w:hAnsi="Times New Roman" w:eastAsia="宋体" w:cs="Times New Roman"/>
                <w:color w:val="auto"/>
                <w:spacing w:val="0"/>
                <w:sz w:val="21"/>
                <w:szCs w:val="21"/>
                <w:lang w:val="en-US" w:eastAsia="zh-CN"/>
              </w:rPr>
              <w:t>侧）</w:t>
            </w: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昼间08:06~08:11</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57.8</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rPr>
                <w:rFonts w:hint="eastAsia" w:ascii="Times New Roman" w:hAnsi="Times New Roman" w:cs="Times New Roman"/>
                <w:lang w:val="en-US" w:eastAsia="zh-CN"/>
              </w:rPr>
            </w:pPr>
          </w:p>
        </w:tc>
        <w:tc>
          <w:tcPr>
            <w:tcW w:w="131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夜间22:06~22:11</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48.8</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9" w:type="dxa"/>
            <w:vMerge w:val="restart"/>
            <w:tcBorders>
              <w:tl2br w:val="nil"/>
              <w:tr2bl w:val="nil"/>
            </w:tcBorders>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w:t>
            </w:r>
            <w:r>
              <w:rPr>
                <w:rFonts w:hint="default" w:ascii="Times New Roman" w:hAnsi="Times New Roman" w:cs="Times New Roman"/>
                <w:color w:val="auto"/>
                <w:spacing w:val="0"/>
                <w:sz w:val="21"/>
                <w:szCs w:val="21"/>
                <w:lang w:val="en-US" w:eastAsia="zh-CN"/>
              </w:rPr>
              <w:t>西</w:t>
            </w:r>
            <w:r>
              <w:rPr>
                <w:rFonts w:hint="default" w:ascii="Times New Roman" w:hAnsi="Times New Roman" w:eastAsia="宋体" w:cs="Times New Roman"/>
                <w:color w:val="auto"/>
                <w:spacing w:val="0"/>
                <w:sz w:val="21"/>
                <w:szCs w:val="21"/>
                <w:lang w:val="en-US" w:eastAsia="zh-CN"/>
              </w:rPr>
              <w:t>侧）</w:t>
            </w: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昼间08:15~08:20</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55.2</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夜间22:16~22:21</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48.1</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9"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r>
              <w:rPr>
                <w:rFonts w:hint="default" w:ascii="Times New Roman" w:hAnsi="Times New Roman" w:cs="Times New Roman"/>
                <w:color w:val="auto"/>
                <w:spacing w:val="0"/>
                <w:sz w:val="21"/>
                <w:szCs w:val="21"/>
                <w:lang w:val="en-US" w:eastAsia="zh-CN"/>
              </w:rPr>
              <w:t>南</w:t>
            </w:r>
            <w:r>
              <w:rPr>
                <w:rFonts w:hint="default" w:ascii="Times New Roman" w:hAnsi="Times New Roman" w:eastAsia="宋体" w:cs="Times New Roman"/>
                <w:color w:val="auto"/>
                <w:spacing w:val="0"/>
                <w:sz w:val="21"/>
                <w:szCs w:val="21"/>
                <w:lang w:val="en-US" w:eastAsia="zh-CN"/>
              </w:rPr>
              <w:t>侧）</w:t>
            </w: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昼间08:24~08:29</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57.4</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夜间22:25~22:30</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47.8</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rPr>
                <w:rFonts w:hint="default" w:ascii="Times New Roman" w:hAnsi="Times New Roman" w:cs="Times New Roman"/>
                <w:lang w:val="en-US" w:eastAsia="zh-CN"/>
              </w:rPr>
            </w:pPr>
          </w:p>
        </w:tc>
        <w:tc>
          <w:tcPr>
            <w:tcW w:w="1319" w:type="dxa"/>
            <w:vMerge w:val="restart"/>
            <w:tcBorders>
              <w:tl2br w:val="nil"/>
              <w:tr2bl w:val="nil"/>
            </w:tcBorders>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4#（</w:t>
            </w:r>
            <w:r>
              <w:rPr>
                <w:rFonts w:hint="default" w:ascii="Times New Roman" w:hAnsi="Times New Roman" w:cs="Times New Roman"/>
                <w:color w:val="auto"/>
                <w:spacing w:val="0"/>
                <w:sz w:val="21"/>
                <w:szCs w:val="21"/>
                <w:lang w:val="en-US" w:eastAsia="zh-CN"/>
              </w:rPr>
              <w:t>东</w:t>
            </w:r>
            <w:r>
              <w:rPr>
                <w:rFonts w:hint="default" w:ascii="Times New Roman" w:hAnsi="Times New Roman" w:eastAsia="宋体" w:cs="Times New Roman"/>
                <w:color w:val="auto"/>
                <w:spacing w:val="0"/>
                <w:sz w:val="21"/>
                <w:szCs w:val="21"/>
                <w:lang w:val="en-US" w:eastAsia="zh-CN"/>
              </w:rPr>
              <w:t>侧）</w:t>
            </w: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昼间08:36~08:41</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56.6</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vMerge w:val="continue"/>
            <w:tcBorders>
              <w:tl2br w:val="nil"/>
              <w:tr2bl w:val="nil"/>
            </w:tcBorders>
            <w:vAlign w:val="center"/>
          </w:tcPr>
          <w:p>
            <w:pPr>
              <w:rPr>
                <w:rFonts w:hint="default" w:ascii="Times New Roman" w:hAnsi="Times New Roman" w:cs="Times New Roman"/>
                <w:lang w:val="en-US" w:eastAsia="zh-CN"/>
              </w:rPr>
            </w:pPr>
          </w:p>
        </w:tc>
        <w:tc>
          <w:tcPr>
            <w:tcW w:w="131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p>
        </w:tc>
        <w:tc>
          <w:tcPr>
            <w:tcW w:w="2000"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夜间22:37~23:42</w:t>
            </w:r>
          </w:p>
        </w:tc>
        <w:tc>
          <w:tcPr>
            <w:tcW w:w="1775" w:type="dxa"/>
            <w:tcBorders>
              <w:tl2br w:val="nil"/>
              <w:tr2bl w:val="nil"/>
            </w:tcBorders>
            <w:vAlign w:val="center"/>
          </w:tcPr>
          <w:p>
            <w:pPr>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48.7</w:t>
            </w:r>
          </w:p>
        </w:tc>
        <w:tc>
          <w:tcPr>
            <w:tcW w:w="170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00" w:type="dxa"/>
            <w:tcBorders>
              <w:tl2br w:val="nil"/>
              <w:tr2bl w:val="nil"/>
            </w:tcBorders>
            <w:vAlign w:val="center"/>
          </w:tcPr>
          <w:p>
            <w:pPr>
              <w:jc w:val="center"/>
              <w:rPr>
                <w:rFonts w:hint="default" w:ascii="Times New Roman" w:hAnsi="Times New Roman" w:cs="Times New Roman"/>
                <w:lang w:eastAsia="zh-CN"/>
              </w:rPr>
            </w:pPr>
            <w:r>
              <w:rPr>
                <w:rFonts w:hint="default" w:ascii="Times New Roman" w:hAnsi="Times New Roman" w:cs="Times New Roman"/>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63" w:type="dxa"/>
            <w:tcBorders>
              <w:tl2br w:val="nil"/>
              <w:tr2bl w:val="nil"/>
            </w:tcBorders>
            <w:vAlign w:val="center"/>
          </w:tcPr>
          <w:p>
            <w:pPr>
              <w:spacing w:line="240" w:lineRule="auto"/>
              <w:jc w:val="center"/>
              <w:rPr>
                <w:rFonts w:hint="default" w:ascii="Times New Roman" w:hAnsi="Times New Roman" w:cs="Times New Roman"/>
                <w:lang w:eastAsia="zh-CN"/>
              </w:rPr>
            </w:pPr>
            <w:r>
              <w:rPr>
                <w:rFonts w:hint="default" w:ascii="Times New Roman" w:hAnsi="Times New Roman" w:cs="Times New Roman"/>
                <w:lang w:val="en-US" w:eastAsia="zh-CN"/>
              </w:rPr>
              <w:t>备注</w:t>
            </w:r>
          </w:p>
        </w:tc>
        <w:tc>
          <w:tcPr>
            <w:tcW w:w="8194" w:type="dxa"/>
            <w:gridSpan w:val="5"/>
            <w:tcBorders>
              <w:tl2br w:val="nil"/>
              <w:tr2bl w:val="nil"/>
            </w:tcBorders>
            <w:vAlign w:val="center"/>
          </w:tcPr>
          <w:p>
            <w:pPr>
              <w:spacing w:line="240" w:lineRule="auto"/>
              <w:jc w:val="left"/>
              <w:rPr>
                <w:rFonts w:hint="default" w:ascii="Times New Roman" w:hAnsi="Times New Roman" w:cs="Times New Roman"/>
              </w:rPr>
            </w:pPr>
            <w:r>
              <w:rPr>
                <w:rFonts w:hint="default" w:ascii="Times New Roman" w:hAnsi="Times New Roman" w:cs="Times New Roman"/>
                <w:lang w:eastAsia="zh-CN"/>
              </w:rPr>
              <w:t>执行</w:t>
            </w:r>
            <w:r>
              <w:rPr>
                <w:rFonts w:hint="default" w:ascii="Times New Roman" w:hAnsi="Times New Roman" w:cs="Times New Roman"/>
              </w:rPr>
              <w:t>《工业企业厂界环境噪声排放标准》（GB12348-2008）</w:t>
            </w:r>
            <w:r>
              <w:rPr>
                <w:rFonts w:hint="default" w:ascii="Times New Roman" w:hAnsi="Times New Roman" w:cs="Times New Roman"/>
                <w:lang w:val="en-US" w:eastAsia="zh-CN"/>
              </w:rPr>
              <w:t>2类区</w:t>
            </w:r>
            <w:r>
              <w:rPr>
                <w:rFonts w:hint="default" w:ascii="Times New Roman" w:hAnsi="Times New Roman" w:cs="Times New Roman"/>
              </w:rPr>
              <w:t>标准</w:t>
            </w:r>
            <w:r>
              <w:rPr>
                <w:rFonts w:hint="default" w:ascii="Times New Roman" w:hAnsi="Times New Roman" w:cs="Times New Roman"/>
                <w:lang w:eastAsia="zh-CN"/>
              </w:rPr>
              <w:t>限值</w:t>
            </w:r>
          </w:p>
        </w:tc>
      </w:tr>
    </w:tbl>
    <w:p>
      <w:pPr>
        <w:pStyle w:val="6"/>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auto"/>
        <w:outlineLvl w:val="1"/>
        <w:rPr>
          <w:rFonts w:hint="default" w:ascii="Times New Roman" w:hAnsi="Times New Roman" w:eastAsia="宋体" w:cs="Times New Roman"/>
        </w:rPr>
      </w:pPr>
      <w:bookmarkStart w:id="247" w:name="_Toc11985"/>
      <w:bookmarkStart w:id="248" w:name="_Toc26119"/>
      <w:bookmarkStart w:id="249" w:name="_Toc21685"/>
      <w:bookmarkStart w:id="250" w:name="_Toc5560"/>
      <w:r>
        <w:rPr>
          <w:rFonts w:hint="default" w:ascii="Times New Roman" w:hAnsi="Times New Roman" w:eastAsia="宋体" w:cs="Times New Roman"/>
        </w:rPr>
        <w:t>7.2 检测结果分析</w:t>
      </w:r>
      <w:bookmarkEnd w:id="247"/>
      <w:bookmarkEnd w:id="248"/>
      <w:bookmarkEnd w:id="249"/>
      <w:bookmarkEnd w:id="250"/>
    </w:p>
    <w:p>
      <w:pPr>
        <w:pStyle w:val="7"/>
        <w:keepNext w:val="0"/>
        <w:keepLines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eastAsia="宋体" w:cs="Times New Roman"/>
        </w:rPr>
      </w:pPr>
      <w:bookmarkStart w:id="251" w:name="_Toc3228"/>
      <w:bookmarkStart w:id="252" w:name="_Toc497001493"/>
      <w:bookmarkStart w:id="253" w:name="_Toc9795"/>
      <w:bookmarkStart w:id="254" w:name="_Toc16633"/>
      <w:bookmarkStart w:id="255" w:name="_Toc30843"/>
      <w:bookmarkStart w:id="256" w:name="_Toc31512"/>
      <w:r>
        <w:rPr>
          <w:rFonts w:hint="default" w:ascii="Times New Roman" w:hAnsi="Times New Roman" w:eastAsia="宋体" w:cs="Times New Roman"/>
        </w:rPr>
        <w:t>7.2.1 废气检测结果</w:t>
      </w:r>
      <w:bookmarkEnd w:id="251"/>
      <w:bookmarkEnd w:id="252"/>
      <w:bookmarkEnd w:id="253"/>
      <w:bookmarkEnd w:id="254"/>
      <w:bookmarkEnd w:id="255"/>
      <w:bookmarkEnd w:id="256"/>
    </w:p>
    <w:p>
      <w:pPr>
        <w:keepNext w:val="0"/>
        <w:keepLines w:val="0"/>
        <w:pageBreakBefore w:val="0"/>
        <w:widowControl w:val="0"/>
        <w:kinsoku/>
        <w:wordWrap/>
        <w:overflowPunct/>
        <w:topLinePunct w:val="0"/>
        <w:autoSpaceDE w:val="0"/>
        <w:autoSpaceDN w:val="0"/>
        <w:bidi w:val="0"/>
        <w:adjustRightInd w:val="0"/>
        <w:snapToGrid/>
        <w:spacing w:after="157" w:afterLines="50" w:line="336" w:lineRule="auto"/>
        <w:ind w:left="0" w:leftChars="0" w:right="0" w:rightChars="0" w:firstLine="480" w:firstLineChars="200"/>
        <w:jc w:val="both"/>
        <w:textAlignment w:val="auto"/>
        <w:outlineLvl w:val="9"/>
        <w:rPr>
          <w:rFonts w:hint="default" w:ascii="Times New Roman" w:hAnsi="Times New Roman" w:cs="Times New Roman" w:eastAsiaTheme="minorEastAsia"/>
          <w:sz w:val="24"/>
          <w:szCs w:val="24"/>
          <w:highlight w:val="none"/>
          <w:lang w:val="en-US" w:eastAsia="zh-CN"/>
        </w:rPr>
      </w:pPr>
      <w:bookmarkStart w:id="257" w:name="_Toc5876"/>
      <w:bookmarkStart w:id="258" w:name="_Toc497001494"/>
      <w:bookmarkStart w:id="259" w:name="_Toc1065"/>
      <w:bookmarkStart w:id="260" w:name="_Toc4404"/>
      <w:bookmarkStart w:id="261" w:name="_Toc23179"/>
      <w:r>
        <w:rPr>
          <w:rFonts w:hint="default" w:ascii="Times New Roman" w:hAnsi="Times New Roman" w:cs="Times New Roman"/>
          <w:sz w:val="24"/>
          <w:szCs w:val="24"/>
        </w:rPr>
        <w:t>塑化工序废气处理设施出口废气经集气罩收集后，</w:t>
      </w:r>
      <w:r>
        <w:rPr>
          <w:rFonts w:hint="default" w:ascii="Times New Roman" w:hAnsi="Times New Roman" w:cs="Times New Roman"/>
          <w:sz w:val="24"/>
          <w:szCs w:val="24"/>
          <w:highlight w:val="none"/>
          <w:lang w:val="en-US" w:eastAsia="zh-CN"/>
        </w:rPr>
        <w:t>经等离子净化机+二级活性炭</w:t>
      </w:r>
      <w:r>
        <w:rPr>
          <w:rFonts w:hint="eastAsia" w:ascii="Times New Roman" w:hAnsi="Times New Roman" w:cs="Times New Roman"/>
          <w:sz w:val="24"/>
          <w:szCs w:val="24"/>
          <w:highlight w:val="none"/>
          <w:lang w:val="en-US" w:eastAsia="zh-CN"/>
        </w:rPr>
        <w:t>装置</w:t>
      </w:r>
      <w:r>
        <w:rPr>
          <w:rFonts w:hint="default" w:ascii="Times New Roman" w:hAnsi="Times New Roman" w:cs="Times New Roman"/>
          <w:sz w:val="24"/>
          <w:szCs w:val="24"/>
          <w:highlight w:val="none"/>
          <w:lang w:val="en-US" w:eastAsia="zh-CN"/>
        </w:rPr>
        <w:t>处理后</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通过</w:t>
      </w:r>
      <w:r>
        <w:rPr>
          <w:rFonts w:hint="eastAsia" w:ascii="Times New Roman" w:hAnsi="Times New Roman" w:cs="Times New Roman"/>
          <w:sz w:val="24"/>
          <w:szCs w:val="24"/>
          <w:highlight w:val="none"/>
          <w:lang w:val="en-US" w:eastAsia="zh-CN"/>
        </w:rPr>
        <w:t>1根</w:t>
      </w:r>
      <w:r>
        <w:rPr>
          <w:rFonts w:hint="default" w:ascii="Times New Roman" w:hAnsi="Times New Roman" w:cs="Times New Roman"/>
          <w:sz w:val="24"/>
          <w:szCs w:val="24"/>
          <w:highlight w:val="none"/>
          <w:lang w:val="en-US" w:eastAsia="zh-CN"/>
        </w:rPr>
        <w:t>15m高排气筒排放</w:t>
      </w:r>
      <w:r>
        <w:rPr>
          <w:rFonts w:hint="default" w:ascii="Times New Roman" w:hAnsi="Times New Roman" w:cs="Times New Roman"/>
          <w:sz w:val="24"/>
          <w:szCs w:val="24"/>
        </w:rPr>
        <w:t>。外排废气中，非甲烷总烃最大排放浓度为</w:t>
      </w:r>
      <w:r>
        <w:rPr>
          <w:rFonts w:hint="eastAsia" w:ascii="Times New Roman" w:hAnsi="Times New Roman" w:cs="Times New Roman"/>
          <w:sz w:val="24"/>
          <w:szCs w:val="24"/>
          <w:lang w:val="en-US" w:eastAsia="zh-CN"/>
        </w:rPr>
        <w:t>1.66</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，满足《烧碱、聚氯乙烯工业污染物排放标准》（GB15581-2016）表4中大气污染物特别排放浓度限值</w:t>
      </w:r>
      <w:r>
        <w:rPr>
          <w:rFonts w:hint="eastAsia" w:ascii="Times New Roman" w:hAnsi="Times New Roman" w:cs="Times New Roman"/>
          <w:sz w:val="24"/>
          <w:szCs w:val="24"/>
          <w:lang w:val="en-US" w:eastAsia="zh-CN"/>
        </w:rPr>
        <w:t>要求</w:t>
      </w:r>
      <w:r>
        <w:rPr>
          <w:rFonts w:hint="default" w:ascii="Times New Roman" w:hAnsi="Times New Roman" w:cs="Times New Roman"/>
          <w:sz w:val="24"/>
          <w:szCs w:val="24"/>
          <w:lang w:val="en-US" w:eastAsia="zh-CN"/>
        </w:rPr>
        <w:t>（非甲烷总烃≤</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lang w:eastAsia="zh-CN"/>
        </w:rPr>
        <w:t>）</w:t>
      </w:r>
      <w:r>
        <w:rPr>
          <w:rFonts w:hint="eastAsia" w:ascii="Times New Roman" w:hAnsi="Times New Roman" w:cs="Times New Roman"/>
          <w:sz w:val="24"/>
          <w:szCs w:val="24"/>
          <w:highlight w:val="none"/>
          <w:lang w:val="en-US" w:eastAsia="zh-CN"/>
        </w:rPr>
        <w:t>；非甲烷总烃最低去除效率75.0%，未满足</w:t>
      </w:r>
      <w:r>
        <w:rPr>
          <w:rFonts w:hint="default" w:ascii="Times New Roman" w:hAnsi="Times New Roman" w:cs="Times New Roman"/>
          <w:sz w:val="24"/>
          <w:szCs w:val="24"/>
          <w:highlight w:val="none"/>
        </w:rPr>
        <w:t>《工业企业挥发性有机物排放控制标准》（DB13/2322-2016）</w:t>
      </w:r>
      <w:r>
        <w:rPr>
          <w:rFonts w:hint="default" w:ascii="Times New Roman" w:hAnsi="Times New Roman" w:cs="Times New Roman"/>
          <w:sz w:val="24"/>
          <w:szCs w:val="24"/>
          <w:highlight w:val="none"/>
          <w:lang w:val="en-US" w:eastAsia="zh-CN"/>
        </w:rPr>
        <w:t>表1中</w:t>
      </w:r>
      <w:r>
        <w:rPr>
          <w:rFonts w:hint="eastAsia" w:ascii="Times New Roman" w:hAnsi="Times New Roman" w:cs="Times New Roman"/>
          <w:sz w:val="24"/>
          <w:szCs w:val="24"/>
          <w:highlight w:val="none"/>
          <w:lang w:val="en-US" w:eastAsia="zh-CN"/>
        </w:rPr>
        <w:t>有机化工业限值要求（去除效率≥90%），加测车间有机废气；氯化氢</w:t>
      </w:r>
      <w:r>
        <w:rPr>
          <w:rFonts w:hint="default" w:ascii="Times New Roman" w:hAnsi="Times New Roman" w:cs="Times New Roman"/>
          <w:sz w:val="24"/>
          <w:szCs w:val="24"/>
        </w:rPr>
        <w:t>最大排放浓度为</w:t>
      </w:r>
      <w:r>
        <w:rPr>
          <w:rFonts w:hint="eastAsia" w:ascii="Times New Roman" w:hAnsi="Times New Roman" w:cs="Times New Roman"/>
          <w:sz w:val="24"/>
          <w:szCs w:val="24"/>
          <w:lang w:val="en-US" w:eastAsia="zh-CN"/>
        </w:rPr>
        <w:t>3.8</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cs="Times New Roman"/>
          <w:sz w:val="24"/>
          <w:szCs w:val="24"/>
          <w:lang w:eastAsia="zh-CN"/>
        </w:rPr>
        <w:t>氯乙烯未检出，均满足《烧碱、聚氯乙烯工业污染物排放标准》（GB15581-2016）中表4大气污染物特别排放浓度限值要求（氯化氢</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vertAlign w:val="baseline"/>
          <w:lang w:eastAsia="zh-CN"/>
        </w:rPr>
        <w:t>，氯乙烯</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after="157" w:afterLines="50" w:line="336" w:lineRule="auto"/>
        <w:ind w:left="0" w:leftChars="0" w:right="0" w:rightChars="0" w:firstLine="480" w:firstLineChars="200"/>
        <w:jc w:val="both"/>
        <w:textAlignment w:val="auto"/>
        <w:outlineLvl w:val="9"/>
        <w:rPr>
          <w:rFonts w:hint="eastAsia" w:ascii="Times New Roman" w:hAnsi="Times New Roman" w:cs="Times New Roman"/>
          <w:sz w:val="24"/>
          <w:szCs w:val="24"/>
          <w:vertAlign w:val="baseline"/>
          <w:lang w:val="en-US" w:eastAsia="zh-CN"/>
        </w:rPr>
      </w:pPr>
      <w:r>
        <w:rPr>
          <w:rFonts w:hint="default" w:ascii="Times New Roman" w:hAnsi="Times New Roman" w:cs="Times New Roman"/>
          <w:sz w:val="24"/>
          <w:szCs w:val="24"/>
          <w:lang w:val="en-US" w:eastAsia="zh-CN"/>
        </w:rPr>
        <w:t>企业厂界外无组织废气中，非甲烷总烃最大排放浓度为</w:t>
      </w:r>
      <w:r>
        <w:rPr>
          <w:rFonts w:hint="eastAsia" w:ascii="Times New Roman" w:hAnsi="Times New Roman" w:cs="Times New Roman"/>
          <w:sz w:val="24"/>
          <w:szCs w:val="24"/>
          <w:lang w:val="en-US" w:eastAsia="zh-CN"/>
        </w:rPr>
        <w:t>1.18</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，满足《工业企业挥发性有机物排放控制标准》（DB13/2322-2016）表2企业边界大气污染物浓度限值要求</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非甲烷总烃≤2.0mg/m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；氯化氢</w:t>
      </w:r>
      <w:r>
        <w:rPr>
          <w:rFonts w:hint="default" w:ascii="Times New Roman" w:hAnsi="Times New Roman" w:cs="Times New Roman"/>
          <w:sz w:val="24"/>
          <w:szCs w:val="24"/>
          <w:lang w:val="en-US" w:eastAsia="zh-CN"/>
        </w:rPr>
        <w:t>最大排放浓度为</w:t>
      </w:r>
      <w:r>
        <w:rPr>
          <w:rFonts w:hint="eastAsia" w:ascii="Times New Roman" w:hAnsi="Times New Roman" w:cs="Times New Roman"/>
          <w:sz w:val="24"/>
          <w:szCs w:val="24"/>
          <w:lang w:val="en-US" w:eastAsia="zh-CN"/>
        </w:rPr>
        <w:t>0.15</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，氯乙烯未检出，均满足《烧碱、聚氯乙烯工业污染物排放标准》（GB15581-2016）中表5企业边界大气污染物浓度限值要求（</w:t>
      </w:r>
      <w:r>
        <w:rPr>
          <w:rFonts w:hint="eastAsia" w:ascii="Times New Roman" w:hAnsi="Times New Roman" w:cs="Times New Roman"/>
          <w:sz w:val="24"/>
          <w:szCs w:val="24"/>
          <w:lang w:eastAsia="zh-CN"/>
        </w:rPr>
        <w:t>氯化氢</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0.2</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vertAlign w:val="baseline"/>
          <w:lang w:eastAsia="zh-CN"/>
        </w:rPr>
        <w:t>，氯乙烯</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0.15</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vertAlign w:val="baseline"/>
          <w:lang w:val="en-US" w:eastAsia="zh-CN"/>
        </w:rPr>
        <w:t>）。</w:t>
      </w:r>
    </w:p>
    <w:p>
      <w:pPr>
        <w:keepNext w:val="0"/>
        <w:keepLines w:val="0"/>
        <w:pageBreakBefore w:val="0"/>
        <w:widowControl w:val="0"/>
        <w:kinsoku/>
        <w:wordWrap/>
        <w:overflowPunct/>
        <w:topLinePunct w:val="0"/>
        <w:autoSpaceDE w:val="0"/>
        <w:autoSpaceDN w:val="0"/>
        <w:bidi w:val="0"/>
        <w:adjustRightInd w:val="0"/>
        <w:snapToGrid/>
        <w:spacing w:after="157" w:afterLines="50" w:line="336" w:lineRule="auto"/>
        <w:ind w:left="0" w:leftChars="0" w:right="0" w:rightChars="0" w:firstLine="480" w:firstLineChars="200"/>
        <w:jc w:val="both"/>
        <w:textAlignment w:val="auto"/>
        <w:outlineLvl w:val="9"/>
        <w:rPr>
          <w:rFonts w:hint="eastAsia" w:ascii="Times New Roman" w:hAnsi="Times New Roman" w:cs="Times New Roman" w:eastAsiaTheme="minorEastAsia"/>
          <w:sz w:val="24"/>
          <w:szCs w:val="24"/>
          <w:vertAlign w:val="baseline"/>
          <w:lang w:val="en-US" w:eastAsia="zh-CN"/>
        </w:rPr>
      </w:pPr>
      <w:r>
        <w:rPr>
          <w:rFonts w:hint="default" w:ascii="Times New Roman" w:hAnsi="Times New Roman" w:eastAsia="宋体" w:cs="Times New Roman"/>
          <w:color w:val="000000"/>
          <w:sz w:val="24"/>
          <w:szCs w:val="24"/>
        </w:rPr>
        <w:t>车间无组织废气中，非甲烷总烃最高排</w:t>
      </w:r>
      <w:r>
        <w:rPr>
          <w:rFonts w:hint="default" w:ascii="Times New Roman" w:hAnsi="Times New Roman" w:eastAsia="宋体" w:cs="Times New Roman"/>
          <w:color w:val="000000"/>
          <w:sz w:val="24"/>
          <w:szCs w:val="24"/>
          <w:highlight w:val="none"/>
        </w:rPr>
        <w:t>放浓度为</w:t>
      </w:r>
      <w:r>
        <w:rPr>
          <w:rFonts w:hint="eastAsia" w:ascii="Times New Roman" w:hAnsi="Times New Roman" w:eastAsia="宋体" w:cs="Times New Roman"/>
          <w:color w:val="000000"/>
          <w:sz w:val="24"/>
          <w:szCs w:val="24"/>
          <w:highlight w:val="none"/>
          <w:lang w:val="en-US" w:eastAsia="zh-CN"/>
        </w:rPr>
        <w:t>1.34</w:t>
      </w:r>
      <w:r>
        <w:rPr>
          <w:rFonts w:hint="default" w:ascii="Times New Roman" w:hAnsi="Times New Roman" w:eastAsia="宋体" w:cs="Times New Roman"/>
          <w:color w:val="000000"/>
          <w:sz w:val="24"/>
          <w:szCs w:val="24"/>
          <w:highlight w:val="none"/>
        </w:rPr>
        <w:t>mg/</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lang w:eastAsia="zh-CN"/>
        </w:rPr>
        <w:t>满足</w:t>
      </w:r>
      <w:r>
        <w:rPr>
          <w:rFonts w:hint="default" w:ascii="Times New Roman" w:hAnsi="Times New Roman" w:eastAsia="宋体" w:cs="Times New Roman"/>
          <w:color w:val="000000"/>
          <w:sz w:val="24"/>
          <w:szCs w:val="24"/>
        </w:rPr>
        <w:t>《工业企业挥发性有机物排放控制标准》（DB13/2322-2016）</w:t>
      </w:r>
      <w:r>
        <w:rPr>
          <w:rFonts w:hint="default" w:ascii="Times New Roman" w:hAnsi="Times New Roman" w:eastAsia="宋体" w:cs="Times New Roman"/>
          <w:color w:val="000000"/>
          <w:sz w:val="24"/>
          <w:szCs w:val="24"/>
          <w:lang w:eastAsia="zh-CN"/>
        </w:rPr>
        <w:t>表</w:t>
      </w:r>
      <w:r>
        <w:rPr>
          <w:rFonts w:hint="default" w:ascii="Times New Roman" w:hAnsi="Times New Roman" w:eastAsia="宋体" w:cs="Times New Roman"/>
          <w:color w:val="000000"/>
          <w:sz w:val="24"/>
          <w:szCs w:val="24"/>
          <w:lang w:val="en-US" w:eastAsia="zh-CN"/>
        </w:rPr>
        <w:t>3生产车间或生产设备边界大气污染物浓度限值，同时满足</w:t>
      </w:r>
      <w:r>
        <w:rPr>
          <w:rFonts w:hint="default" w:ascii="Times New Roman" w:hAnsi="Times New Roman" w:eastAsia="宋体" w:cs="Times New Roman"/>
          <w:color w:val="000000"/>
          <w:sz w:val="24"/>
          <w:szCs w:val="24"/>
        </w:rPr>
        <w:t>《挥发性有机物无组织排放控制标准》(GB37822-2019)表A.1厂区内VOCs无组织特别排放限值</w:t>
      </w:r>
      <w:r>
        <w:rPr>
          <w:rFonts w:hint="default" w:ascii="Times New Roman" w:hAnsi="Times New Roman" w:eastAsia="宋体" w:cs="Times New Roman"/>
          <w:color w:val="000000"/>
          <w:sz w:val="24"/>
          <w:szCs w:val="24"/>
          <w:lang w:eastAsia="zh-CN"/>
        </w:rPr>
        <w:t>要求</w:t>
      </w:r>
      <w:r>
        <w:rPr>
          <w:rFonts w:hint="default" w:ascii="Times New Roman" w:hAnsi="Times New Roman" w:eastAsia="宋体" w:cs="Times New Roman"/>
          <w:color w:val="000000"/>
          <w:sz w:val="24"/>
          <w:szCs w:val="24"/>
          <w:lang w:val="en-US" w:eastAsia="zh-CN"/>
        </w:rPr>
        <w:t>（非甲烷总烃≤4.0mg/m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w:t>
      </w:r>
    </w:p>
    <w:p>
      <w:pPr>
        <w:pStyle w:val="7"/>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eastAsia="宋体" w:cs="Times New Roman"/>
        </w:rPr>
      </w:pPr>
      <w:bookmarkStart w:id="262" w:name="_Toc13502"/>
      <w:r>
        <w:rPr>
          <w:rFonts w:hint="default" w:ascii="Times New Roman" w:hAnsi="Times New Roman" w:eastAsia="宋体" w:cs="Times New Roman"/>
        </w:rPr>
        <w:t>7.2</w:t>
      </w:r>
      <w:r>
        <w:rPr>
          <w:rFonts w:hint="eastAsia" w:ascii="Times New Roman" w:hAnsi="Times New Roman" w:cs="Times New Roman"/>
          <w:lang w:val="en-US" w:eastAsia="zh-CN"/>
        </w:rPr>
        <w:t>.2</w:t>
      </w:r>
      <w:r>
        <w:rPr>
          <w:rFonts w:hint="default" w:ascii="Times New Roman" w:hAnsi="Times New Roman" w:eastAsia="宋体" w:cs="Times New Roman"/>
        </w:rPr>
        <w:t xml:space="preserve"> 噪声检测结果</w:t>
      </w:r>
      <w:bookmarkEnd w:id="257"/>
      <w:bookmarkEnd w:id="258"/>
      <w:bookmarkEnd w:id="259"/>
      <w:bookmarkEnd w:id="260"/>
      <w:bookmarkEnd w:id="261"/>
      <w:bookmarkEnd w:id="262"/>
    </w:p>
    <w:p>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bookmarkStart w:id="263" w:name="_Toc19340"/>
      <w:bookmarkStart w:id="264" w:name="_Toc15296"/>
      <w:bookmarkStart w:id="265" w:name="_Toc4679"/>
      <w:bookmarkStart w:id="266" w:name="_Toc503884785"/>
      <w:bookmarkStart w:id="267" w:name="_Toc3266"/>
      <w:r>
        <w:rPr>
          <w:rFonts w:hint="default" w:ascii="Times New Roman" w:hAnsi="Times New Roman" w:eastAsia="宋体" w:cs="Times New Roman"/>
          <w:b w:val="0"/>
          <w:bCs/>
          <w:color w:val="000000"/>
          <w:kern w:val="2"/>
          <w:sz w:val="24"/>
          <w:szCs w:val="24"/>
          <w:lang w:val="en-US" w:eastAsia="zh-CN" w:bidi="ar-SA"/>
        </w:rPr>
        <w:t>经检测，该企业厂界昼间噪声值范围为55.2~58.8dB(A)，夜间噪声值范围为47.8~49.2dB(A)，均满足《工业企业厂界环境噪声排放标准》(GB12348-2008)中2类标准限值要求（昼间≤60dB(A)，夜间≤60dB(A)）。</w:t>
      </w:r>
    </w:p>
    <w:p>
      <w:pPr>
        <w:pStyle w:val="6"/>
        <w:spacing w:line="360" w:lineRule="auto"/>
        <w:rPr>
          <w:rFonts w:hint="default" w:ascii="Times New Roman" w:hAnsi="Times New Roman" w:eastAsia="宋体" w:cs="Times New Roman"/>
          <w:highlight w:val="none"/>
        </w:rPr>
      </w:pPr>
      <w:r>
        <w:rPr>
          <w:rFonts w:hint="default" w:ascii="Times New Roman" w:hAnsi="Times New Roman" w:eastAsia="宋体" w:cs="Times New Roman"/>
        </w:rPr>
        <w:t>7.3 总量控制要求</w:t>
      </w:r>
      <w:bookmarkEnd w:id="263"/>
      <w:bookmarkEnd w:id="264"/>
      <w:bookmarkEnd w:id="265"/>
      <w:bookmarkEnd w:id="266"/>
    </w:p>
    <w:p>
      <w:pPr>
        <w:spacing w:line="480" w:lineRule="atLeast"/>
        <w:ind w:firstLine="480" w:firstLineChars="200"/>
        <w:rPr>
          <w:rFonts w:hint="default" w:ascii="Times New Roman" w:hAnsi="Times New Roman" w:eastAsia="宋体" w:cs="Times New Roman"/>
          <w:sz w:val="24"/>
          <w:lang w:eastAsia="zh-CN"/>
        </w:rPr>
      </w:pPr>
      <w:r>
        <w:rPr>
          <w:rFonts w:hint="eastAsia" w:ascii="Times New Roman" w:hAnsi="Times New Roman" w:cs="Times New Roman"/>
          <w:sz w:val="24"/>
          <w:lang w:eastAsia="zh-CN"/>
        </w:rPr>
        <w:t>本项目</w:t>
      </w:r>
      <w:r>
        <w:rPr>
          <w:rFonts w:hint="default" w:ascii="Times New Roman" w:hAnsi="Times New Roman" w:eastAsia="宋体" w:cs="Times New Roman"/>
          <w:sz w:val="24"/>
          <w:lang w:eastAsia="zh-CN"/>
        </w:rPr>
        <w:t>污染物总量控制指标的值为：非甲烷总烃：</w:t>
      </w:r>
      <w:r>
        <w:rPr>
          <w:rFonts w:hint="default" w:ascii="Times New Roman" w:hAnsi="Times New Roman" w:eastAsia="宋体" w:cs="Times New Roman"/>
          <w:sz w:val="24"/>
          <w:lang w:val="en-US" w:eastAsia="zh-CN"/>
        </w:rPr>
        <w:t>0.0342</w:t>
      </w:r>
      <w:r>
        <w:rPr>
          <w:rFonts w:hint="default" w:ascii="Times New Roman" w:hAnsi="Times New Roman" w:eastAsia="宋体" w:cs="Times New Roman"/>
          <w:sz w:val="24"/>
          <w:lang w:eastAsia="zh-CN"/>
        </w:rPr>
        <w:t>t/a，氯化氢：</w:t>
      </w:r>
      <w:r>
        <w:rPr>
          <w:rFonts w:hint="default" w:ascii="Times New Roman" w:hAnsi="Times New Roman" w:eastAsia="宋体" w:cs="Times New Roman"/>
          <w:sz w:val="24"/>
          <w:lang w:val="en-US" w:eastAsia="zh-CN"/>
        </w:rPr>
        <w:t>0.0792</w:t>
      </w:r>
      <w:r>
        <w:rPr>
          <w:rFonts w:hint="default" w:ascii="Times New Roman" w:hAnsi="Times New Roman" w:eastAsia="宋体" w:cs="Times New Roman"/>
          <w:sz w:val="24"/>
          <w:lang w:eastAsia="zh-CN"/>
        </w:rPr>
        <w:t>t/a，氯乙烯：</w:t>
      </w:r>
      <w:r>
        <w:rPr>
          <w:rFonts w:hint="default" w:ascii="Times New Roman" w:hAnsi="Times New Roman" w:eastAsia="宋体" w:cs="Times New Roman"/>
          <w:sz w:val="24"/>
          <w:lang w:val="en-US" w:eastAsia="zh-CN"/>
        </w:rPr>
        <w:t>8.64×10</w:t>
      </w:r>
      <w:r>
        <w:rPr>
          <w:rFonts w:hint="default" w:ascii="Times New Roman" w:hAnsi="Times New Roman" w:eastAsia="宋体" w:cs="Times New Roman"/>
          <w:sz w:val="24"/>
          <w:vertAlign w:val="superscript"/>
          <w:lang w:val="en-US" w:eastAsia="zh-CN"/>
        </w:rPr>
        <w:t>-4</w:t>
      </w:r>
      <w:r>
        <w:rPr>
          <w:rFonts w:hint="default" w:ascii="Times New Roman" w:hAnsi="Times New Roman" w:eastAsia="宋体" w:cs="Times New Roman"/>
          <w:sz w:val="24"/>
          <w:lang w:eastAsia="zh-CN"/>
        </w:rPr>
        <w:t>t/a</w:t>
      </w:r>
      <w:r>
        <w:rPr>
          <w:rFonts w:hint="eastAsia" w:ascii="Times New Roman" w:hAnsi="Times New Roman" w:eastAsia="宋体" w:cs="Times New Roman"/>
          <w:sz w:val="24"/>
          <w:lang w:eastAsia="zh-CN"/>
        </w:rPr>
        <w:t>。</w:t>
      </w:r>
    </w:p>
    <w:p>
      <w:pPr>
        <w:bidi w:val="0"/>
        <w:rPr>
          <w:rFonts w:hint="default"/>
        </w:rPr>
      </w:pPr>
      <w:r>
        <w:rPr>
          <w:rFonts w:hint="default"/>
        </w:rPr>
        <w:br w:type="page"/>
      </w:r>
    </w:p>
    <w:p>
      <w:pPr>
        <w:pStyle w:val="5"/>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0"/>
        <w:rPr>
          <w:rFonts w:hint="default" w:ascii="Times New Roman" w:hAnsi="Times New Roman" w:eastAsia="宋体" w:cs="Times New Roman"/>
        </w:rPr>
      </w:pPr>
      <w:bookmarkStart w:id="268" w:name="_Toc3191"/>
      <w:bookmarkStart w:id="269" w:name="_Toc20214"/>
      <w:bookmarkStart w:id="270" w:name="_Toc1763"/>
      <w:r>
        <w:rPr>
          <w:rFonts w:hint="default" w:ascii="Times New Roman" w:hAnsi="Times New Roman" w:eastAsia="宋体" w:cs="Times New Roman"/>
        </w:rPr>
        <w:t>8 环境管理检查</w:t>
      </w:r>
      <w:bookmarkEnd w:id="267"/>
      <w:bookmarkEnd w:id="268"/>
      <w:bookmarkEnd w:id="269"/>
      <w:bookmarkEnd w:id="270"/>
    </w:p>
    <w:p>
      <w:pPr>
        <w:pStyle w:val="6"/>
        <w:spacing w:line="360" w:lineRule="auto"/>
        <w:rPr>
          <w:rFonts w:hint="default" w:ascii="Times New Roman" w:hAnsi="Times New Roman" w:eastAsia="宋体" w:cs="Times New Roman"/>
        </w:rPr>
      </w:pPr>
      <w:bookmarkStart w:id="271" w:name="_Toc23769"/>
      <w:bookmarkStart w:id="272" w:name="_Toc2801"/>
      <w:bookmarkStart w:id="273" w:name="_Toc17414"/>
      <w:bookmarkStart w:id="274" w:name="_Toc5972"/>
      <w:r>
        <w:rPr>
          <w:rFonts w:hint="default" w:ascii="Times New Roman" w:hAnsi="Times New Roman" w:eastAsia="宋体" w:cs="Times New Roman"/>
        </w:rPr>
        <w:t>8.1 环保管理机构</w:t>
      </w:r>
      <w:bookmarkEnd w:id="271"/>
      <w:bookmarkEnd w:id="272"/>
      <w:bookmarkEnd w:id="273"/>
      <w:bookmarkEnd w:id="274"/>
    </w:p>
    <w:p>
      <w:pPr>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新麦菲地毯（沧州）有限公司</w:t>
      </w:r>
      <w:r>
        <w:rPr>
          <w:rFonts w:hint="default" w:ascii="Times New Roman" w:hAnsi="Times New Roman" w:eastAsia="宋体" w:cs="Times New Roman"/>
          <w:sz w:val="24"/>
          <w:szCs w:val="24"/>
        </w:rPr>
        <w:t>环境管理由公司</w:t>
      </w:r>
      <w:r>
        <w:rPr>
          <w:rFonts w:hint="default" w:ascii="Times New Roman" w:hAnsi="Times New Roman" w:eastAsia="宋体" w:cs="Times New Roman"/>
          <w:sz w:val="24"/>
          <w:szCs w:val="24"/>
          <w:lang w:eastAsia="zh-CN"/>
        </w:rPr>
        <w:t>专人</w:t>
      </w:r>
      <w:r>
        <w:rPr>
          <w:rFonts w:hint="default" w:ascii="Times New Roman" w:hAnsi="Times New Roman" w:eastAsia="宋体" w:cs="Times New Roman"/>
          <w:sz w:val="24"/>
          <w:szCs w:val="24"/>
        </w:rPr>
        <w:t>负责监督，负责工程环境管理工作，定期进行巡检环境影响情况，及时处理环境问题，并进行有关环境保护法规宣传工作。</w:t>
      </w:r>
    </w:p>
    <w:p>
      <w:pPr>
        <w:pStyle w:val="6"/>
        <w:spacing w:line="360" w:lineRule="auto"/>
        <w:rPr>
          <w:rFonts w:hint="default" w:ascii="Times New Roman" w:hAnsi="Times New Roman" w:eastAsia="宋体" w:cs="Times New Roman"/>
          <w:szCs w:val="22"/>
        </w:rPr>
      </w:pPr>
      <w:bookmarkStart w:id="275" w:name="_Toc14656"/>
      <w:bookmarkStart w:id="276" w:name="_Toc31892"/>
      <w:bookmarkStart w:id="277" w:name="_Toc412705194"/>
      <w:bookmarkStart w:id="278" w:name="_Toc18585"/>
      <w:bookmarkStart w:id="279" w:name="_Toc294178076"/>
      <w:bookmarkStart w:id="280" w:name="_Toc25742"/>
      <w:r>
        <w:rPr>
          <w:rFonts w:hint="default" w:ascii="Times New Roman" w:hAnsi="Times New Roman" w:eastAsia="宋体" w:cs="Times New Roman"/>
          <w:szCs w:val="22"/>
        </w:rPr>
        <w:t>8.2 施工期环境管理</w:t>
      </w:r>
      <w:bookmarkEnd w:id="275"/>
      <w:bookmarkEnd w:id="276"/>
      <w:bookmarkEnd w:id="277"/>
      <w:bookmarkEnd w:id="278"/>
      <w:bookmarkEnd w:id="279"/>
      <w:bookmarkEnd w:id="280"/>
    </w:p>
    <w:p>
      <w:pPr>
        <w:spacing w:line="360" w:lineRule="auto"/>
        <w:ind w:firstLine="480" w:firstLineChars="200"/>
        <w:rPr>
          <w:rFonts w:hint="default" w:ascii="Times New Roman" w:hAnsi="Times New Roman" w:eastAsia="宋体" w:cs="Times New Roman"/>
          <w:sz w:val="24"/>
          <w:szCs w:val="24"/>
        </w:rPr>
      </w:pPr>
      <w:bookmarkStart w:id="281" w:name="_Toc294178077"/>
      <w:bookmarkStart w:id="282" w:name="_Toc412705195"/>
      <w:r>
        <w:rPr>
          <w:rFonts w:hint="default" w:ascii="Times New Roman" w:hAnsi="Times New Roman" w:eastAsia="宋体" w:cs="Times New Roman"/>
          <w:sz w:val="24"/>
          <w:szCs w:val="24"/>
        </w:rPr>
        <w:t>本工程在施工</w:t>
      </w:r>
      <w:r>
        <w:rPr>
          <w:rFonts w:hint="default" w:ascii="Times New Roman" w:hAnsi="Times New Roman" w:eastAsia="宋体" w:cs="Times New Roman"/>
          <w:sz w:val="24"/>
          <w:szCs w:val="24"/>
          <w:lang w:eastAsia="zh-CN"/>
        </w:rPr>
        <w:t>过程</w:t>
      </w:r>
      <w:r>
        <w:rPr>
          <w:rFonts w:hint="default" w:ascii="Times New Roman" w:hAnsi="Times New Roman" w:eastAsia="宋体" w:cs="Times New Roman"/>
          <w:sz w:val="24"/>
          <w:szCs w:val="24"/>
        </w:rPr>
        <w:t>中严格按设计文件施工，特别是按环保设计要求和</w:t>
      </w:r>
      <w:r>
        <w:rPr>
          <w:rFonts w:hint="default" w:ascii="Times New Roman" w:hAnsi="Times New Roman" w:eastAsia="宋体" w:cs="Times New Roman"/>
          <w:sz w:val="24"/>
          <w:szCs w:val="24"/>
          <w:lang w:eastAsia="zh-CN"/>
        </w:rPr>
        <w:t>环评文件</w:t>
      </w:r>
      <w:r>
        <w:rPr>
          <w:rFonts w:hint="default" w:ascii="Times New Roman" w:hAnsi="Times New Roman" w:eastAsia="宋体" w:cs="Times New Roman"/>
          <w:sz w:val="24"/>
          <w:szCs w:val="24"/>
        </w:rPr>
        <w:t>提出的措施要求进行施工。</w:t>
      </w:r>
      <w:r>
        <w:rPr>
          <w:rFonts w:hint="default" w:ascii="Times New Roman" w:hAnsi="Times New Roman" w:eastAsia="宋体" w:cs="Times New Roman"/>
          <w:bCs/>
          <w:sz w:val="24"/>
        </w:rPr>
        <w:t>切实落实工程环保实施方案，并且做到“三同时”</w:t>
      </w:r>
      <w:r>
        <w:rPr>
          <w:rFonts w:hint="default" w:ascii="Times New Roman" w:hAnsi="Times New Roman" w:eastAsia="宋体" w:cs="Times New Roman"/>
          <w:bCs/>
          <w:sz w:val="24"/>
          <w:lang w:eastAsia="zh-CN"/>
        </w:rPr>
        <w:t>。</w:t>
      </w:r>
    </w:p>
    <w:p>
      <w:pPr>
        <w:pStyle w:val="6"/>
        <w:spacing w:line="360" w:lineRule="auto"/>
        <w:rPr>
          <w:rFonts w:hint="default" w:ascii="Times New Roman" w:hAnsi="Times New Roman" w:eastAsia="宋体" w:cs="Times New Roman"/>
        </w:rPr>
      </w:pPr>
      <w:bookmarkStart w:id="283" w:name="_Toc20253"/>
      <w:bookmarkStart w:id="284" w:name="_Toc7664"/>
      <w:bookmarkStart w:id="285" w:name="_Toc25520"/>
      <w:bookmarkStart w:id="286" w:name="_Toc463"/>
      <w:r>
        <w:rPr>
          <w:rFonts w:hint="default" w:ascii="Times New Roman" w:hAnsi="Times New Roman" w:eastAsia="宋体" w:cs="Times New Roman"/>
        </w:rPr>
        <w:t>8.3 运行期环境管理</w:t>
      </w:r>
      <w:bookmarkEnd w:id="281"/>
      <w:bookmarkEnd w:id="282"/>
      <w:bookmarkEnd w:id="283"/>
      <w:bookmarkEnd w:id="284"/>
      <w:bookmarkEnd w:id="285"/>
      <w:bookmarkEnd w:id="286"/>
    </w:p>
    <w:p>
      <w:pPr>
        <w:spacing w:line="360" w:lineRule="auto"/>
        <w:ind w:firstLine="480" w:firstLineChars="200"/>
        <w:rPr>
          <w:rFonts w:hint="default" w:ascii="Times New Roman" w:hAnsi="Times New Roman" w:eastAsia="宋体" w:cs="Times New Roman"/>
          <w:sz w:val="24"/>
          <w:szCs w:val="24"/>
        </w:rPr>
      </w:pPr>
      <w:bookmarkStart w:id="287" w:name="_Toc294178078"/>
      <w:r>
        <w:rPr>
          <w:rFonts w:hint="eastAsia" w:ascii="Times New Roman" w:hAnsi="Times New Roman" w:cs="Times New Roman"/>
          <w:sz w:val="24"/>
          <w:szCs w:val="24"/>
          <w:lang w:val="en-US" w:eastAsia="zh-CN"/>
        </w:rPr>
        <w:t>新麦菲地毯（沧州）有限公司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287"/>
      <w:bookmarkStart w:id="288" w:name="_Toc414220604"/>
      <w:bookmarkStart w:id="289" w:name="_Toc412705199"/>
    </w:p>
    <w:p>
      <w:pPr>
        <w:pStyle w:val="6"/>
        <w:spacing w:line="360" w:lineRule="auto"/>
        <w:rPr>
          <w:rFonts w:hint="default" w:ascii="Times New Roman" w:hAnsi="Times New Roman" w:eastAsia="宋体" w:cs="Times New Roman"/>
        </w:rPr>
      </w:pPr>
      <w:bookmarkStart w:id="290" w:name="_Toc8826"/>
      <w:bookmarkStart w:id="291" w:name="_Toc76"/>
      <w:bookmarkStart w:id="292" w:name="_Toc414220602"/>
      <w:bookmarkStart w:id="293" w:name="_Toc28702"/>
      <w:bookmarkStart w:id="294" w:name="_Toc6657"/>
      <w:bookmarkStart w:id="295" w:name="_Toc412705196"/>
      <w:r>
        <w:rPr>
          <w:rFonts w:hint="default" w:ascii="Times New Roman" w:hAnsi="Times New Roman" w:eastAsia="宋体" w:cs="Times New Roman"/>
        </w:rPr>
        <w:t>8.4 社会环境影响情况调查</w:t>
      </w:r>
      <w:bookmarkEnd w:id="290"/>
      <w:bookmarkEnd w:id="291"/>
      <w:bookmarkEnd w:id="292"/>
      <w:bookmarkEnd w:id="293"/>
      <w:bookmarkEnd w:id="294"/>
      <w:bookmarkEnd w:id="295"/>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6"/>
        <w:spacing w:line="360" w:lineRule="auto"/>
        <w:rPr>
          <w:rFonts w:hint="default" w:ascii="Times New Roman" w:hAnsi="Times New Roman" w:eastAsia="宋体" w:cs="Times New Roman"/>
        </w:rPr>
      </w:pPr>
      <w:bookmarkStart w:id="296" w:name="_Toc26985"/>
      <w:bookmarkStart w:id="297" w:name="_Toc5394"/>
      <w:bookmarkStart w:id="298" w:name="_Toc15866"/>
      <w:bookmarkStart w:id="299" w:name="_Toc9083"/>
      <w:r>
        <w:rPr>
          <w:rFonts w:hint="default" w:ascii="Times New Roman" w:hAnsi="Times New Roman" w:eastAsia="宋体" w:cs="Times New Roman"/>
        </w:rPr>
        <w:t>8.5 环境管理情况分析</w:t>
      </w:r>
      <w:bookmarkEnd w:id="288"/>
      <w:bookmarkEnd w:id="289"/>
      <w:bookmarkEnd w:id="296"/>
      <w:bookmarkEnd w:id="297"/>
      <w:bookmarkEnd w:id="298"/>
      <w:bookmarkEnd w:id="299"/>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建设单位设置了相应的环境管理机构，并且正常履行了运行期的环境职责，运行初期的检测工作也已经完成，后续检测计划按周期正常进行。</w:t>
      </w:r>
    </w:p>
    <w:p>
      <w:pPr>
        <w:bidi w:val="0"/>
        <w:rPr>
          <w:rFonts w:hint="default"/>
        </w:rPr>
      </w:pPr>
      <w:bookmarkStart w:id="300" w:name="_Toc27984"/>
      <w:r>
        <w:rPr>
          <w:rFonts w:hint="default"/>
        </w:rPr>
        <w:br w:type="page"/>
      </w:r>
    </w:p>
    <w:p>
      <w:pPr>
        <w:pStyle w:val="5"/>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rPr>
      </w:pPr>
      <w:bookmarkStart w:id="301" w:name="_Toc26369"/>
      <w:bookmarkStart w:id="302" w:name="_Toc11667"/>
      <w:bookmarkStart w:id="303" w:name="_Toc18158"/>
      <w:r>
        <w:rPr>
          <w:rFonts w:hint="default" w:ascii="Times New Roman" w:hAnsi="Times New Roman" w:eastAsia="宋体" w:cs="Times New Roman"/>
        </w:rPr>
        <w:t>9 结论和建议</w:t>
      </w:r>
      <w:bookmarkEnd w:id="300"/>
      <w:bookmarkEnd w:id="301"/>
      <w:bookmarkEnd w:id="302"/>
      <w:bookmarkEnd w:id="303"/>
    </w:p>
    <w:p>
      <w:pPr>
        <w:pStyle w:val="6"/>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rPr>
      </w:pPr>
      <w:bookmarkStart w:id="304" w:name="_Toc25092"/>
      <w:bookmarkStart w:id="305" w:name="_Toc6888"/>
      <w:bookmarkStart w:id="306" w:name="_Toc8760"/>
      <w:bookmarkStart w:id="307" w:name="_Toc4166"/>
      <w:r>
        <w:rPr>
          <w:rFonts w:hint="default" w:ascii="Times New Roman" w:hAnsi="Times New Roman" w:eastAsia="宋体" w:cs="Times New Roman"/>
        </w:rPr>
        <w:t>9.1 验收主要结论</w:t>
      </w:r>
      <w:bookmarkEnd w:id="304"/>
      <w:bookmarkEnd w:id="305"/>
      <w:bookmarkEnd w:id="306"/>
      <w:bookmarkEnd w:id="307"/>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keepNext w:val="0"/>
        <w:keepLines w:val="0"/>
        <w:pageBreakBefore w:val="0"/>
        <w:widowControl w:val="0"/>
        <w:kinsoku/>
        <w:wordWrap/>
        <w:overflowPunct/>
        <w:topLinePunct w:val="0"/>
        <w:autoSpaceDE/>
        <w:autoSpaceDN/>
        <w:bidi w:val="0"/>
        <w:adjustRightInd/>
        <w:snapToGrid/>
        <w:spacing w:after="157" w:afterLines="50" w:line="360" w:lineRule="auto"/>
        <w:ind w:right="0" w:rightChars="0" w:firstLine="480" w:firstLineChars="200"/>
        <w:textAlignment w:val="auto"/>
        <w:rPr>
          <w:rFonts w:hint="default" w:ascii="Times New Roman" w:hAnsi="Times New Roman" w:eastAsia="宋体" w:cs="Times New Roman"/>
          <w:sz w:val="24"/>
          <w:szCs w:val="24"/>
        </w:rPr>
      </w:pPr>
      <w:bookmarkStart w:id="308" w:name="_Hlk496998889"/>
      <w:r>
        <w:rPr>
          <w:rFonts w:hint="default" w:ascii="Times New Roman" w:hAnsi="Times New Roman" w:eastAsia="宋体" w:cs="Times New Roman"/>
          <w:sz w:val="24"/>
          <w:szCs w:val="24"/>
        </w:rPr>
        <w:t>（1）废气</w:t>
      </w:r>
    </w:p>
    <w:bookmarkEnd w:id="308"/>
    <w:p>
      <w:pPr>
        <w:keepNext w:val="0"/>
        <w:keepLines w:val="0"/>
        <w:pageBreakBefore w:val="0"/>
        <w:widowControl w:val="0"/>
        <w:kinsoku/>
        <w:wordWrap/>
        <w:overflowPunct/>
        <w:topLinePunct w:val="0"/>
        <w:autoSpaceDE w:val="0"/>
        <w:autoSpaceDN w:val="0"/>
        <w:bidi w:val="0"/>
        <w:adjustRightInd w:val="0"/>
        <w:snapToGrid/>
        <w:spacing w:after="157" w:afterLines="50" w:line="336" w:lineRule="auto"/>
        <w:ind w:left="0" w:leftChars="0" w:right="0" w:rightChars="0" w:firstLine="480" w:firstLineChars="200"/>
        <w:jc w:val="both"/>
        <w:textAlignment w:val="auto"/>
        <w:outlineLvl w:val="9"/>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sz w:val="24"/>
          <w:szCs w:val="24"/>
        </w:rPr>
        <w:t>塑化工序废气处理设施出口废气经集气罩收集后，</w:t>
      </w:r>
      <w:r>
        <w:rPr>
          <w:rFonts w:hint="default" w:ascii="Times New Roman" w:hAnsi="Times New Roman" w:cs="Times New Roman"/>
          <w:sz w:val="24"/>
          <w:szCs w:val="24"/>
          <w:highlight w:val="none"/>
          <w:lang w:val="en-US" w:eastAsia="zh-CN"/>
        </w:rPr>
        <w:t>经等离子净化机+二级活性炭</w:t>
      </w:r>
      <w:r>
        <w:rPr>
          <w:rFonts w:hint="eastAsia" w:ascii="Times New Roman" w:hAnsi="Times New Roman" w:cs="Times New Roman"/>
          <w:sz w:val="24"/>
          <w:szCs w:val="24"/>
          <w:highlight w:val="none"/>
          <w:lang w:val="en-US" w:eastAsia="zh-CN"/>
        </w:rPr>
        <w:t>装置</w:t>
      </w:r>
      <w:r>
        <w:rPr>
          <w:rFonts w:hint="default" w:ascii="Times New Roman" w:hAnsi="Times New Roman" w:cs="Times New Roman"/>
          <w:sz w:val="24"/>
          <w:szCs w:val="24"/>
          <w:highlight w:val="none"/>
          <w:lang w:val="en-US" w:eastAsia="zh-CN"/>
        </w:rPr>
        <w:t>处理后</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通过</w:t>
      </w:r>
      <w:r>
        <w:rPr>
          <w:rFonts w:hint="eastAsia" w:ascii="Times New Roman" w:hAnsi="Times New Roman" w:cs="Times New Roman"/>
          <w:sz w:val="24"/>
          <w:szCs w:val="24"/>
          <w:highlight w:val="none"/>
          <w:lang w:val="en-US" w:eastAsia="zh-CN"/>
        </w:rPr>
        <w:t>1根</w:t>
      </w:r>
      <w:r>
        <w:rPr>
          <w:rFonts w:hint="default" w:ascii="Times New Roman" w:hAnsi="Times New Roman" w:cs="Times New Roman"/>
          <w:sz w:val="24"/>
          <w:szCs w:val="24"/>
          <w:highlight w:val="none"/>
          <w:lang w:val="en-US" w:eastAsia="zh-CN"/>
        </w:rPr>
        <w:t>15m高排气筒排放</w:t>
      </w:r>
      <w:r>
        <w:rPr>
          <w:rFonts w:hint="default" w:ascii="Times New Roman" w:hAnsi="Times New Roman" w:cs="Times New Roman"/>
          <w:sz w:val="24"/>
          <w:szCs w:val="24"/>
        </w:rPr>
        <w:t>。外排废气中，非甲烷总烃最大排放浓度为</w:t>
      </w:r>
      <w:r>
        <w:rPr>
          <w:rFonts w:hint="eastAsia" w:ascii="Times New Roman" w:hAnsi="Times New Roman" w:cs="Times New Roman"/>
          <w:sz w:val="24"/>
          <w:szCs w:val="24"/>
          <w:lang w:val="en-US" w:eastAsia="zh-CN"/>
        </w:rPr>
        <w:t>1.66</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，满足《烧碱、聚氯乙烯工业污染物排放标准》（GB15581-2016）表4中大气污染物特别排放浓度限值</w:t>
      </w:r>
      <w:r>
        <w:rPr>
          <w:rFonts w:hint="eastAsia" w:ascii="Times New Roman" w:hAnsi="Times New Roman" w:cs="Times New Roman"/>
          <w:sz w:val="24"/>
          <w:szCs w:val="24"/>
          <w:lang w:val="en-US" w:eastAsia="zh-CN"/>
        </w:rPr>
        <w:t>要求</w:t>
      </w:r>
      <w:r>
        <w:rPr>
          <w:rFonts w:hint="default" w:ascii="Times New Roman" w:hAnsi="Times New Roman" w:cs="Times New Roman"/>
          <w:sz w:val="24"/>
          <w:szCs w:val="24"/>
          <w:lang w:val="en-US" w:eastAsia="zh-CN"/>
        </w:rPr>
        <w:t>（非甲烷总烃≤</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lang w:eastAsia="zh-CN"/>
        </w:rPr>
        <w:t>）</w:t>
      </w:r>
      <w:r>
        <w:rPr>
          <w:rFonts w:hint="eastAsia" w:ascii="Times New Roman" w:hAnsi="Times New Roman" w:cs="Times New Roman"/>
          <w:sz w:val="24"/>
          <w:szCs w:val="24"/>
          <w:highlight w:val="none"/>
          <w:lang w:val="en-US" w:eastAsia="zh-CN"/>
        </w:rPr>
        <w:t>；非甲烷总烃最低去除效率75.0%，未满足</w:t>
      </w:r>
      <w:r>
        <w:rPr>
          <w:rFonts w:hint="default" w:ascii="Times New Roman" w:hAnsi="Times New Roman" w:cs="Times New Roman"/>
          <w:sz w:val="24"/>
          <w:szCs w:val="24"/>
          <w:highlight w:val="none"/>
        </w:rPr>
        <w:t>《工业企业挥发性有机物排放控制标准》（DB13/2322-2016）</w:t>
      </w:r>
      <w:r>
        <w:rPr>
          <w:rFonts w:hint="default" w:ascii="Times New Roman" w:hAnsi="Times New Roman" w:cs="Times New Roman"/>
          <w:sz w:val="24"/>
          <w:szCs w:val="24"/>
          <w:highlight w:val="none"/>
          <w:lang w:val="en-US" w:eastAsia="zh-CN"/>
        </w:rPr>
        <w:t>表1中</w:t>
      </w:r>
      <w:r>
        <w:rPr>
          <w:rFonts w:hint="eastAsia" w:ascii="Times New Roman" w:hAnsi="Times New Roman" w:cs="Times New Roman"/>
          <w:sz w:val="24"/>
          <w:szCs w:val="24"/>
          <w:highlight w:val="none"/>
          <w:lang w:val="en-US" w:eastAsia="zh-CN"/>
        </w:rPr>
        <w:t>有机化工业限值要求（去除效率≥90%），加测车间有机废气；氯化氢</w:t>
      </w:r>
      <w:r>
        <w:rPr>
          <w:rFonts w:hint="default" w:ascii="Times New Roman" w:hAnsi="Times New Roman" w:cs="Times New Roman"/>
          <w:sz w:val="24"/>
          <w:szCs w:val="24"/>
        </w:rPr>
        <w:t>最大排放浓度为</w:t>
      </w:r>
      <w:r>
        <w:rPr>
          <w:rFonts w:hint="eastAsia" w:ascii="Times New Roman" w:hAnsi="Times New Roman" w:cs="Times New Roman"/>
          <w:sz w:val="24"/>
          <w:szCs w:val="24"/>
          <w:lang w:val="en-US" w:eastAsia="zh-CN"/>
        </w:rPr>
        <w:t>3.8</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cs="Times New Roman"/>
          <w:sz w:val="24"/>
          <w:szCs w:val="24"/>
          <w:lang w:eastAsia="zh-CN"/>
        </w:rPr>
        <w:t>氯乙烯未检出，均满足《烧碱、聚氯乙烯工业污染物排放标准》（GB15581-2016）中表4大气污染物特别排放浓度限值要求（氯化氢</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vertAlign w:val="baseline"/>
          <w:lang w:eastAsia="zh-CN"/>
        </w:rPr>
        <w:t>，氯乙烯</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after="157" w:afterLines="50" w:line="336" w:lineRule="auto"/>
        <w:ind w:left="0" w:leftChars="0" w:right="0" w:rightChars="0" w:firstLine="480" w:firstLineChars="200"/>
        <w:jc w:val="both"/>
        <w:textAlignment w:val="auto"/>
        <w:outlineLvl w:val="9"/>
        <w:rPr>
          <w:rFonts w:hint="eastAsia" w:ascii="Times New Roman" w:hAnsi="Times New Roman" w:cs="Times New Roman"/>
          <w:sz w:val="24"/>
          <w:szCs w:val="24"/>
          <w:vertAlign w:val="baseline"/>
          <w:lang w:val="en-US" w:eastAsia="zh-CN"/>
        </w:rPr>
      </w:pPr>
      <w:r>
        <w:rPr>
          <w:rFonts w:hint="default" w:ascii="Times New Roman" w:hAnsi="Times New Roman" w:cs="Times New Roman"/>
          <w:sz w:val="24"/>
          <w:szCs w:val="24"/>
          <w:lang w:val="en-US" w:eastAsia="zh-CN"/>
        </w:rPr>
        <w:t>企业厂界外无组织废气中，非甲烷总烃最大排放浓度为</w:t>
      </w:r>
      <w:r>
        <w:rPr>
          <w:rFonts w:hint="eastAsia" w:ascii="Times New Roman" w:hAnsi="Times New Roman" w:cs="Times New Roman"/>
          <w:sz w:val="24"/>
          <w:szCs w:val="24"/>
          <w:lang w:val="en-US" w:eastAsia="zh-CN"/>
        </w:rPr>
        <w:t>1.18</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，满足《工业企业挥发性有机物排放控制标准》（DB13/2322-2016）表2企业边界大气污染物浓度限值要求</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非甲烷总烃≤2.0mg/m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；氯化氢</w:t>
      </w:r>
      <w:r>
        <w:rPr>
          <w:rFonts w:hint="default" w:ascii="Times New Roman" w:hAnsi="Times New Roman" w:cs="Times New Roman"/>
          <w:sz w:val="24"/>
          <w:szCs w:val="24"/>
          <w:lang w:val="en-US" w:eastAsia="zh-CN"/>
        </w:rPr>
        <w:t>最大排放浓度为</w:t>
      </w:r>
      <w:r>
        <w:rPr>
          <w:rFonts w:hint="eastAsia" w:ascii="Times New Roman" w:hAnsi="Times New Roman" w:cs="Times New Roman"/>
          <w:sz w:val="24"/>
          <w:szCs w:val="24"/>
          <w:lang w:val="en-US" w:eastAsia="zh-CN"/>
        </w:rPr>
        <w:t>0.15</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，氯乙烯未检出，均满足《烧碱、聚氯乙烯工业污染物排放标准》（GB15581-2016）中表5企业边界大气污染物浓度限值要求（</w:t>
      </w:r>
      <w:r>
        <w:rPr>
          <w:rFonts w:hint="eastAsia" w:ascii="Times New Roman" w:hAnsi="Times New Roman" w:cs="Times New Roman"/>
          <w:sz w:val="24"/>
          <w:szCs w:val="24"/>
          <w:lang w:eastAsia="zh-CN"/>
        </w:rPr>
        <w:t>氯化氢</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0.2</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vertAlign w:val="baseline"/>
          <w:lang w:eastAsia="zh-CN"/>
        </w:rPr>
        <w:t>，氯乙烯</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0.15</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vertAlign w:val="baseline"/>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pacing w:val="0"/>
          <w:sz w:val="24"/>
          <w:szCs w:val="24"/>
        </w:rPr>
      </w:pPr>
      <w:r>
        <w:rPr>
          <w:rFonts w:hint="default" w:ascii="Times New Roman" w:hAnsi="Times New Roman" w:eastAsia="宋体" w:cs="Times New Roman"/>
          <w:color w:val="000000"/>
          <w:sz w:val="24"/>
          <w:szCs w:val="24"/>
        </w:rPr>
        <w:t>车间无组织废气中，非甲烷总烃最高排</w:t>
      </w:r>
      <w:r>
        <w:rPr>
          <w:rFonts w:hint="default" w:ascii="Times New Roman" w:hAnsi="Times New Roman" w:eastAsia="宋体" w:cs="Times New Roman"/>
          <w:color w:val="000000"/>
          <w:sz w:val="24"/>
          <w:szCs w:val="24"/>
          <w:highlight w:val="none"/>
        </w:rPr>
        <w:t>放浓度为</w:t>
      </w:r>
      <w:r>
        <w:rPr>
          <w:rFonts w:hint="eastAsia" w:ascii="Times New Roman" w:hAnsi="Times New Roman" w:eastAsia="宋体" w:cs="Times New Roman"/>
          <w:color w:val="000000"/>
          <w:sz w:val="24"/>
          <w:szCs w:val="24"/>
          <w:highlight w:val="none"/>
          <w:lang w:val="en-US" w:eastAsia="zh-CN"/>
        </w:rPr>
        <w:t>1.34</w:t>
      </w:r>
      <w:r>
        <w:rPr>
          <w:rFonts w:hint="default" w:ascii="Times New Roman" w:hAnsi="Times New Roman" w:eastAsia="宋体" w:cs="Times New Roman"/>
          <w:color w:val="000000"/>
          <w:sz w:val="24"/>
          <w:szCs w:val="24"/>
          <w:highlight w:val="none"/>
        </w:rPr>
        <w:t>mg/</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lang w:eastAsia="zh-CN"/>
        </w:rPr>
        <w:t>满足</w:t>
      </w:r>
      <w:r>
        <w:rPr>
          <w:rFonts w:hint="default" w:ascii="Times New Roman" w:hAnsi="Times New Roman" w:eastAsia="宋体" w:cs="Times New Roman"/>
          <w:color w:val="000000"/>
          <w:sz w:val="24"/>
          <w:szCs w:val="24"/>
        </w:rPr>
        <w:t>《工业企业挥发性有机物排放控制标准》（DB13/2322-2016）</w:t>
      </w:r>
      <w:r>
        <w:rPr>
          <w:rFonts w:hint="default" w:ascii="Times New Roman" w:hAnsi="Times New Roman" w:eastAsia="宋体" w:cs="Times New Roman"/>
          <w:color w:val="000000"/>
          <w:sz w:val="24"/>
          <w:szCs w:val="24"/>
          <w:lang w:eastAsia="zh-CN"/>
        </w:rPr>
        <w:t>表</w:t>
      </w:r>
      <w:r>
        <w:rPr>
          <w:rFonts w:hint="default" w:ascii="Times New Roman" w:hAnsi="Times New Roman" w:eastAsia="宋体" w:cs="Times New Roman"/>
          <w:color w:val="000000"/>
          <w:sz w:val="24"/>
          <w:szCs w:val="24"/>
          <w:lang w:val="en-US" w:eastAsia="zh-CN"/>
        </w:rPr>
        <w:t>3生产车间或生产设备边界大气污染物浓度限值，同时满足</w:t>
      </w:r>
      <w:r>
        <w:rPr>
          <w:rFonts w:hint="default" w:ascii="Times New Roman" w:hAnsi="Times New Roman" w:eastAsia="宋体" w:cs="Times New Roman"/>
          <w:color w:val="000000"/>
          <w:sz w:val="24"/>
          <w:szCs w:val="24"/>
        </w:rPr>
        <w:t>《挥发性有机物无组织排放控制标准》(GB37822-2019)表A.1厂区内VOCs无组织特别排放限值</w:t>
      </w:r>
      <w:r>
        <w:rPr>
          <w:rFonts w:hint="default" w:ascii="Times New Roman" w:hAnsi="Times New Roman" w:eastAsia="宋体" w:cs="Times New Roman"/>
          <w:color w:val="000000"/>
          <w:sz w:val="24"/>
          <w:szCs w:val="24"/>
          <w:lang w:eastAsia="zh-CN"/>
        </w:rPr>
        <w:t>要求</w:t>
      </w:r>
      <w:r>
        <w:rPr>
          <w:rFonts w:hint="default" w:ascii="Times New Roman" w:hAnsi="Times New Roman" w:eastAsia="宋体" w:cs="Times New Roman"/>
          <w:color w:val="000000"/>
          <w:sz w:val="24"/>
          <w:szCs w:val="24"/>
          <w:lang w:val="en-US" w:eastAsia="zh-CN"/>
        </w:rPr>
        <w:t>（非甲烷总烃≤4.0mg/m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（2）噪声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309" w:name="_Hlk496998963"/>
      <w:r>
        <w:rPr>
          <w:rFonts w:hint="default" w:ascii="Times New Roman" w:hAnsi="Times New Roman" w:eastAsia="宋体" w:cs="Times New Roman"/>
          <w:b w:val="0"/>
          <w:bCs/>
          <w:color w:val="000000"/>
          <w:kern w:val="2"/>
          <w:sz w:val="24"/>
          <w:szCs w:val="24"/>
          <w:lang w:val="en-US" w:eastAsia="zh-CN" w:bidi="ar-SA"/>
        </w:rPr>
        <w:t>经检测，该企业厂界昼间噪声值范围为55.2~58.8dB(A)，夜间噪声值范围为47.8~49.2dB(A)，均满足《工业企业厂界环境噪声排放标准》(GB12348-2008)中2类标准限值要求（昼间≤60dB(A)，夜间≤60dB(A)）。</w:t>
      </w:r>
    </w:p>
    <w:p>
      <w:pPr>
        <w:keepNext w:val="0"/>
        <w:keepLines w:val="0"/>
        <w:pageBreakBefore w:val="0"/>
        <w:widowControl w:val="0"/>
        <w:numPr>
          <w:ilvl w:val="0"/>
          <w:numId w:val="2"/>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废水</w:t>
      </w:r>
    </w:p>
    <w:bookmarkEnd w:id="309"/>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lang w:val="en-US" w:eastAsia="zh-CN"/>
        </w:rPr>
      </w:pPr>
      <w:bookmarkStart w:id="310" w:name="_Toc4537"/>
      <w:bookmarkStart w:id="311" w:name="_Toc6926"/>
      <w:r>
        <w:rPr>
          <w:rFonts w:hint="eastAsia" w:ascii="Times New Roman" w:hAnsi="Times New Roman" w:cs="Times New Roman"/>
          <w:sz w:val="24"/>
          <w:szCs w:val="24"/>
          <w:highlight w:val="none"/>
          <w:lang w:val="en-US" w:eastAsia="zh-CN"/>
        </w:rPr>
        <w:t>项目无生产废水产生，生产工序冷却水循环使用不外排；项目废水主要为生活废水，全部排入防渗化粪池，由当地农民定期清掏作为农肥使用，不外排</w:t>
      </w:r>
      <w:r>
        <w:rPr>
          <w:rFonts w:hint="default" w:ascii="Times New Roman" w:hAnsi="Times New Roman"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pacing w:val="0"/>
          <w:kern w:val="0"/>
          <w:sz w:val="24"/>
          <w:szCs w:val="21"/>
          <w:lang w:eastAsia="zh-CN"/>
        </w:rPr>
      </w:pPr>
      <w:r>
        <w:rPr>
          <w:rFonts w:hint="default" w:ascii="Times New Roman" w:hAnsi="Times New Roman" w:eastAsia="宋体" w:cs="Times New Roman"/>
          <w:spacing w:val="0"/>
          <w:kern w:val="0"/>
          <w:sz w:val="24"/>
          <w:szCs w:val="21"/>
          <w:lang w:eastAsia="zh-CN"/>
        </w:rPr>
        <w:t>（4）固体废弃物</w:t>
      </w:r>
      <w:bookmarkEnd w:id="310"/>
      <w:bookmarkEnd w:id="311"/>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sz w:val="24"/>
          <w:szCs w:val="24"/>
          <w:highlight w:val="none"/>
          <w:lang w:val="en-US" w:eastAsia="zh-CN"/>
        </w:rPr>
      </w:pPr>
      <w:bookmarkStart w:id="312" w:name="_Toc9384"/>
      <w:bookmarkStart w:id="313" w:name="_Toc25461"/>
      <w:bookmarkStart w:id="314" w:name="_Hlk496999304"/>
      <w:r>
        <w:rPr>
          <w:rFonts w:hint="eastAsia" w:ascii="Times New Roman" w:hAnsi="Times New Roman" w:cs="Times New Roman"/>
          <w:sz w:val="24"/>
          <w:szCs w:val="24"/>
          <w:highlight w:val="none"/>
          <w:lang w:val="en-US" w:eastAsia="zh-CN"/>
        </w:rPr>
        <w:t>项目固废主要为切割工序产生的下脚料，收集后回用于生产；活性炭吸附装置产生废活性炭，收集后存放于厂内危废暂存间，定期交由有资质单位集中处置；生活垃圾收集后交由环卫部门统一处理。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pacing w:val="0"/>
          <w:kern w:val="0"/>
          <w:sz w:val="24"/>
          <w:szCs w:val="21"/>
          <w:lang w:val="en-US" w:eastAsia="zh-CN"/>
        </w:rPr>
      </w:pPr>
      <w:r>
        <w:rPr>
          <w:rFonts w:hint="default" w:ascii="Times New Roman" w:hAnsi="Times New Roman" w:eastAsia="宋体" w:cs="Times New Roman"/>
          <w:spacing w:val="0"/>
          <w:sz w:val="24"/>
          <w:szCs w:val="24"/>
          <w:lang w:eastAsia="zh-CN"/>
        </w:rPr>
        <w:t>（5）</w:t>
      </w:r>
      <w:r>
        <w:rPr>
          <w:rFonts w:hint="default" w:ascii="Times New Roman" w:hAnsi="Times New Roman" w:eastAsia="宋体" w:cs="Times New Roman"/>
          <w:spacing w:val="0"/>
          <w:sz w:val="24"/>
          <w:szCs w:val="24"/>
          <w:lang w:val="en-US" w:eastAsia="zh-CN"/>
        </w:rPr>
        <w:t>主</w:t>
      </w:r>
      <w:r>
        <w:rPr>
          <w:rFonts w:hint="default" w:ascii="Times New Roman" w:hAnsi="Times New Roman" w:eastAsia="宋体" w:cs="Times New Roman"/>
          <w:spacing w:val="0"/>
          <w:kern w:val="0"/>
          <w:sz w:val="24"/>
          <w:szCs w:val="21"/>
          <w:lang w:val="en-US" w:eastAsia="zh-CN"/>
        </w:rPr>
        <w:t>要污染物排放总量</w:t>
      </w:r>
      <w:bookmarkEnd w:id="312"/>
      <w:bookmarkEnd w:id="31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highlight w:val="none"/>
        </w:rPr>
      </w:pPr>
      <w:bookmarkStart w:id="315" w:name="_Toc6395"/>
      <w:bookmarkStart w:id="316" w:name="_Toc24650"/>
      <w:r>
        <w:rPr>
          <w:rFonts w:hint="default" w:ascii="Times New Roman" w:hAnsi="Times New Roman" w:cs="Times New Roman"/>
          <w:sz w:val="24"/>
          <w:szCs w:val="24"/>
          <w:lang w:val="en-US" w:eastAsia="zh-CN"/>
        </w:rPr>
        <w:t>项目污染物年排放总量：非甲烷总烃：0.0342t/a；氯化氢：0.0792t/a；氯乙烯：8.64×10-4t/a。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pacing w:val="0"/>
          <w:kern w:val="0"/>
          <w:sz w:val="24"/>
          <w:szCs w:val="21"/>
          <w:lang w:val="en-US" w:eastAsia="zh-CN"/>
        </w:rPr>
      </w:pPr>
      <w:r>
        <w:rPr>
          <w:rFonts w:hint="default" w:ascii="Times New Roman" w:hAnsi="Times New Roman" w:eastAsia="宋体" w:cs="Times New Roman"/>
          <w:spacing w:val="0"/>
          <w:kern w:val="0"/>
          <w:sz w:val="24"/>
          <w:szCs w:val="21"/>
          <w:lang w:val="en-US" w:eastAsia="zh-CN"/>
        </w:rPr>
        <w:t>（6）结论</w:t>
      </w:r>
      <w:bookmarkEnd w:id="315"/>
      <w:bookmarkEnd w:id="316"/>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pacing w:val="0"/>
          <w:sz w:val="24"/>
          <w:szCs w:val="24"/>
        </w:rPr>
      </w:pPr>
      <w:r>
        <w:rPr>
          <w:rFonts w:hint="default" w:ascii="Times New Roman" w:hAnsi="Times New Roman" w:cs="Times New Roman"/>
          <w:spacing w:val="0"/>
          <w:sz w:val="24"/>
          <w:szCs w:val="24"/>
        </w:rPr>
        <w:t>综上分析，项目已按环评及批复要求进行了环境保护设施建设，根据监测结果可满足相关环境排放标准要求。</w:t>
      </w:r>
    </w:p>
    <w:bookmarkEnd w:id="314"/>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spacing w:val="0"/>
        </w:rPr>
      </w:pPr>
      <w:bookmarkStart w:id="317" w:name="_Toc21981"/>
      <w:bookmarkStart w:id="318" w:name="_Toc30691"/>
      <w:bookmarkStart w:id="319" w:name="_Toc10340"/>
      <w:bookmarkStart w:id="320" w:name="_Toc15856"/>
      <w:r>
        <w:rPr>
          <w:rFonts w:hint="default" w:ascii="Times New Roman" w:hAnsi="Times New Roman" w:eastAsia="宋体" w:cs="Times New Roman"/>
          <w:spacing w:val="0"/>
        </w:rPr>
        <w:t>9.2 建议</w:t>
      </w:r>
      <w:bookmarkEnd w:id="317"/>
      <w:bookmarkEnd w:id="318"/>
      <w:bookmarkEnd w:id="319"/>
      <w:bookmarkEnd w:id="320"/>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pacing w:val="0"/>
          <w:kern w:val="0"/>
          <w:sz w:val="24"/>
          <w:szCs w:val="21"/>
          <w:lang w:val="en-US" w:eastAsia="zh-CN"/>
        </w:rPr>
      </w:pPr>
      <w:bookmarkStart w:id="321" w:name="_Toc25714"/>
      <w:r>
        <w:rPr>
          <w:rFonts w:hint="eastAsia" w:ascii="Times New Roman" w:hAnsi="Times New Roman" w:eastAsia="宋体" w:cs="Times New Roman"/>
          <w:spacing w:val="0"/>
          <w:kern w:val="0"/>
          <w:sz w:val="24"/>
          <w:szCs w:val="21"/>
          <w:lang w:val="en-US" w:eastAsia="zh-CN"/>
        </w:rPr>
        <w:t>1.</w:t>
      </w:r>
      <w:r>
        <w:rPr>
          <w:rFonts w:hint="default" w:ascii="Times New Roman" w:hAnsi="Times New Roman" w:eastAsia="宋体" w:cs="Times New Roman"/>
          <w:spacing w:val="0"/>
          <w:kern w:val="0"/>
          <w:sz w:val="24"/>
          <w:szCs w:val="21"/>
          <w:lang w:val="en-US" w:eastAsia="zh-CN"/>
        </w:rPr>
        <w:t>企业按照“监测计划”落实定期进行监测制度，同时加强污染治理设施运行维护管理，确保污染物达标排放。</w:t>
      </w:r>
      <w:bookmarkEnd w:id="321"/>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pacing w:val="0"/>
          <w:kern w:val="0"/>
          <w:sz w:val="24"/>
          <w:szCs w:val="21"/>
          <w:lang w:val="en-US" w:eastAsia="zh-CN"/>
        </w:rPr>
      </w:pPr>
      <w:bookmarkStart w:id="322" w:name="_Toc7833"/>
      <w:r>
        <w:rPr>
          <w:rFonts w:hint="eastAsia" w:ascii="Times New Roman" w:hAnsi="Times New Roman" w:eastAsia="宋体" w:cs="Times New Roman"/>
          <w:spacing w:val="0"/>
          <w:kern w:val="0"/>
          <w:sz w:val="24"/>
          <w:szCs w:val="21"/>
          <w:lang w:val="en-US" w:eastAsia="zh-CN"/>
        </w:rPr>
        <w:t>2.</w:t>
      </w:r>
      <w:r>
        <w:rPr>
          <w:rFonts w:hint="default" w:ascii="Times New Roman" w:hAnsi="Times New Roman" w:eastAsia="宋体" w:cs="Times New Roman"/>
          <w:spacing w:val="0"/>
          <w:kern w:val="0"/>
          <w:sz w:val="24"/>
          <w:szCs w:val="21"/>
          <w:lang w:val="en-US" w:eastAsia="zh-CN"/>
        </w:rPr>
        <w:t>定期对设备设施进行维护、检修；定期对员工进行培训，提高员工安全环保意识。</w:t>
      </w:r>
      <w:bookmarkEnd w:id="322"/>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pacing w:val="0"/>
          <w:kern w:val="0"/>
          <w:sz w:val="24"/>
          <w:szCs w:val="21"/>
          <w:lang w:val="en-US" w:eastAsia="zh-CN"/>
        </w:rPr>
      </w:pPr>
      <w:bookmarkStart w:id="323" w:name="_Toc29329"/>
      <w:r>
        <w:rPr>
          <w:rFonts w:hint="eastAsia" w:ascii="Times New Roman" w:hAnsi="Times New Roman" w:eastAsia="宋体" w:cs="Times New Roman"/>
          <w:spacing w:val="0"/>
          <w:kern w:val="0"/>
          <w:sz w:val="24"/>
          <w:szCs w:val="21"/>
          <w:lang w:val="en-US" w:eastAsia="zh-CN"/>
        </w:rPr>
        <w:t>3.</w:t>
      </w:r>
      <w:r>
        <w:rPr>
          <w:rFonts w:hint="default" w:ascii="Times New Roman" w:hAnsi="Times New Roman" w:eastAsia="宋体" w:cs="Times New Roman"/>
          <w:spacing w:val="0"/>
          <w:kern w:val="0"/>
          <w:sz w:val="24"/>
          <w:szCs w:val="21"/>
          <w:lang w:val="en-US" w:eastAsia="zh-CN"/>
        </w:rPr>
        <w:t>确保各项环保设施正常运行，确保污染物达标排放。应加强环保管理，加强巡检力度，发现问题及时处理。</w:t>
      </w:r>
      <w:bookmarkEnd w:id="323"/>
    </w:p>
    <w:p>
      <w:pPr>
        <w:keepNext w:val="0"/>
        <w:keepLines w:val="0"/>
        <w:pageBreakBefore w:val="0"/>
        <w:widowControl/>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80" w:lineRule="atLeast"/>
        <w:jc w:val="center"/>
      </w:pPr>
      <w:r>
        <w:rPr>
          <w:sz w:val="21"/>
        </w:rPr>
        <w:drawing>
          <wp:inline distT="0" distB="0" distL="114300" distR="114300">
            <wp:extent cx="8830945" cy="4588510"/>
            <wp:effectExtent l="9525" t="9525" r="13970" b="196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3"/>
                    <a:stretch>
                      <a:fillRect/>
                    </a:stretch>
                  </pic:blipFill>
                  <pic:spPr>
                    <a:xfrm>
                      <a:off x="0" y="0"/>
                      <a:ext cx="8830945" cy="4588510"/>
                    </a:xfrm>
                    <a:prstGeom prst="rect">
                      <a:avLst/>
                    </a:prstGeom>
                    <a:noFill/>
                    <a:ln>
                      <a:solidFill>
                        <a:schemeClr val="tx1"/>
                      </a:solidFill>
                    </a:ln>
                  </pic:spPr>
                </pic:pic>
              </a:graphicData>
            </a:graphic>
          </wp:inline>
        </w:drawing>
      </w:r>
    </w:p>
    <w:p>
      <w:pPr>
        <w:widowControl/>
        <w:spacing w:line="480" w:lineRule="atLeast"/>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eastAsia="zh-CN"/>
        </w:rPr>
        <w:t>附图</w:t>
      </w:r>
      <w:r>
        <w:rPr>
          <w:rFonts w:hint="default" w:ascii="Times New Roman" w:hAnsi="Times New Roman" w:eastAsia="宋体" w:cs="Times New Roman"/>
          <w:b/>
          <w:bCs/>
          <w:sz w:val="24"/>
          <w:szCs w:val="24"/>
          <w:lang w:val="en-US" w:eastAsia="zh-CN"/>
        </w:rPr>
        <w:t>1  项目地理位置图</w:t>
      </w:r>
    </w:p>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br w:type="page"/>
      </w:r>
    </w:p>
    <w:p>
      <w:pPr>
        <w:widowControl/>
        <w:spacing w:line="480" w:lineRule="atLeast"/>
        <w:jc w:val="center"/>
        <w:rPr>
          <w:rFonts w:hint="default" w:ascii="Times New Roman" w:hAnsi="Times New Roman" w:eastAsia="宋体" w:cs="Times New Roman"/>
          <w:b/>
          <w:bCs/>
          <w:kern w:val="0"/>
          <w:sz w:val="24"/>
          <w:szCs w:val="24"/>
          <w:lang w:eastAsia="zh-CN"/>
        </w:rPr>
      </w:pPr>
      <w:r>
        <w:rPr>
          <w:sz w:val="22"/>
        </w:rPr>
        <w:drawing>
          <wp:inline distT="0" distB="0" distL="114300" distR="114300">
            <wp:extent cx="7894320" cy="4653915"/>
            <wp:effectExtent l="0" t="0" r="0" b="95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4"/>
                    <a:stretch>
                      <a:fillRect/>
                    </a:stretch>
                  </pic:blipFill>
                  <pic:spPr>
                    <a:xfrm>
                      <a:off x="0" y="0"/>
                      <a:ext cx="7894320" cy="4653915"/>
                    </a:xfrm>
                    <a:prstGeom prst="rect">
                      <a:avLst/>
                    </a:prstGeom>
                    <a:noFill/>
                    <a:ln>
                      <a:noFill/>
                    </a:ln>
                  </pic:spPr>
                </pic:pic>
              </a:graphicData>
            </a:graphic>
          </wp:inline>
        </w:drawing>
      </w:r>
    </w:p>
    <w:p>
      <w:pPr>
        <w:widowControl/>
        <w:spacing w:line="480" w:lineRule="atLeast"/>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eastAsia="zh-CN"/>
        </w:rPr>
        <w:t>附图</w:t>
      </w:r>
      <w:r>
        <w:rPr>
          <w:rFonts w:hint="default" w:ascii="Times New Roman" w:hAnsi="Times New Roman" w:eastAsia="宋体" w:cs="Times New Roman"/>
          <w:b/>
          <w:bCs/>
          <w:kern w:val="0"/>
          <w:sz w:val="24"/>
          <w:szCs w:val="24"/>
          <w:lang w:val="en-US" w:eastAsia="zh-CN"/>
        </w:rPr>
        <w:t>2  企业周边关系图</w:t>
      </w:r>
    </w:p>
    <w:p>
      <w:pPr>
        <w:pStyle w:val="21"/>
        <w:jc w:val="center"/>
        <w:rPr>
          <w:rFonts w:hint="default" w:ascii="Times New Roman" w:hAnsi="Times New Roman" w:eastAsia="宋体" w:cs="Times New Roman"/>
          <w:b/>
          <w:bCs/>
          <w:kern w:val="0"/>
          <w:sz w:val="24"/>
          <w:szCs w:val="24"/>
          <w:lang w:val="en-US" w:eastAsia="zh-CN"/>
        </w:rPr>
        <w:sectPr>
          <w:headerReference r:id="rId11" w:type="default"/>
          <w:footerReference r:id="rId12"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80" w:lineRule="atLeast"/>
        <w:jc w:val="center"/>
        <w:rPr>
          <w:rFonts w:hint="default" w:ascii="Times New Roman" w:hAnsi="Times New Roman" w:eastAsia="宋体" w:cs="Times New Roman"/>
          <w:b/>
          <w:spacing w:val="0"/>
          <w:sz w:val="28"/>
          <w:szCs w:val="28"/>
          <w:lang w:eastAsia="zh-CN"/>
        </w:rPr>
      </w:pPr>
      <w:r>
        <w:rPr>
          <w:rFonts w:hint="default" w:ascii="Times New Roman" w:hAnsi="Times New Roman" w:eastAsia="宋体" w:cs="Times New Roman"/>
          <w:b/>
          <w:spacing w:val="0"/>
          <w:sz w:val="28"/>
          <w:szCs w:val="28"/>
          <w:highlight w:val="none"/>
          <w:lang w:eastAsia="zh-CN"/>
        </w:rPr>
        <w:pict>
          <v:shape id="_x0000_s2075" o:spid="_x0000_s2075" o:spt="75" type="#_x0000_t75" style="position:absolute;left:0pt;margin-left:35.6pt;margin-top:26.5pt;height:387pt;width:633.1pt;z-index:-251625472;mso-width-relative:page;mso-height-relative:page;" o:ole="t" filled="f" o:preferrelative="t" stroked="f" coordsize="21600,21600">
            <v:path/>
            <v:fill on="f" focussize="0,0"/>
            <v:stroke on="f"/>
            <v:imagedata r:id="rId26" o:title=""/>
            <o:lock v:ext="edit" aspectratio="f"/>
          </v:shape>
          <o:OLEObject Type="Embed" ProgID="Visio.Drawing.11" ShapeID="_x0000_s2075" DrawAspect="Content" ObjectID="_1468075727" r:id="rId25">
            <o:LockedField>false</o:LockedField>
          </o:OLEObject>
        </w:pict>
      </w:r>
    </w:p>
    <w:p>
      <w:pPr>
        <w:pStyle w:val="2"/>
        <w:rPr>
          <w:rFonts w:hint="default" w:ascii="Times New Roman" w:hAnsi="Times New Roman" w:eastAsia="宋体" w:cs="Times New Roman"/>
          <w:b/>
          <w:spacing w:val="0"/>
          <w:sz w:val="28"/>
          <w:szCs w:val="28"/>
          <w:lang w:eastAsia="zh-CN"/>
        </w:rPr>
      </w:pPr>
    </w:p>
    <w:p>
      <w:pPr>
        <w:pStyle w:val="27"/>
        <w:rPr>
          <w:rFonts w:hint="default" w:ascii="Times New Roman" w:hAnsi="Times New Roman" w:eastAsia="宋体" w:cs="Times New Roman"/>
          <w:b/>
          <w:spacing w:val="0"/>
          <w:sz w:val="28"/>
          <w:szCs w:val="28"/>
          <w:lang w:eastAsia="zh-CN"/>
        </w:rPr>
      </w:pPr>
    </w:p>
    <w:p>
      <w:pPr>
        <w:pStyle w:val="28"/>
        <w:rPr>
          <w:rFonts w:hint="default" w:ascii="Times New Roman" w:hAnsi="Times New Roman" w:eastAsia="宋体" w:cs="Times New Roman"/>
          <w:b/>
          <w:spacing w:val="0"/>
          <w:sz w:val="28"/>
          <w:szCs w:val="28"/>
          <w:lang w:eastAsia="zh-CN"/>
        </w:rPr>
      </w:pPr>
    </w:p>
    <w:p>
      <w:pPr>
        <w:rPr>
          <w:rFonts w:hint="default" w:ascii="Times New Roman" w:hAnsi="Times New Roman" w:eastAsia="宋体" w:cs="Times New Roman"/>
          <w:b/>
          <w:spacing w:val="0"/>
          <w:sz w:val="28"/>
          <w:szCs w:val="28"/>
          <w:lang w:eastAsia="zh-CN"/>
        </w:rPr>
      </w:pPr>
    </w:p>
    <w:p>
      <w:pPr>
        <w:pStyle w:val="2"/>
        <w:rPr>
          <w:rFonts w:hint="default" w:ascii="Times New Roman" w:hAnsi="Times New Roman" w:eastAsia="宋体" w:cs="Times New Roman"/>
          <w:b/>
          <w:spacing w:val="0"/>
          <w:sz w:val="28"/>
          <w:szCs w:val="28"/>
          <w:lang w:eastAsia="zh-CN"/>
        </w:rPr>
      </w:pPr>
    </w:p>
    <w:p>
      <w:pPr>
        <w:pStyle w:val="27"/>
        <w:rPr>
          <w:rFonts w:hint="default" w:ascii="Times New Roman" w:hAnsi="Times New Roman" w:eastAsia="宋体" w:cs="Times New Roman"/>
          <w:b/>
          <w:spacing w:val="0"/>
          <w:sz w:val="28"/>
          <w:szCs w:val="28"/>
          <w:lang w:eastAsia="zh-CN"/>
        </w:rPr>
      </w:pPr>
    </w:p>
    <w:p>
      <w:pPr>
        <w:pStyle w:val="28"/>
        <w:rPr>
          <w:rFonts w:hint="default" w:ascii="Times New Roman" w:hAnsi="Times New Roman" w:eastAsia="宋体" w:cs="Times New Roman"/>
          <w:b/>
          <w:spacing w:val="0"/>
          <w:sz w:val="28"/>
          <w:szCs w:val="28"/>
          <w:lang w:eastAsia="zh-CN"/>
        </w:rPr>
      </w:pPr>
    </w:p>
    <w:p>
      <w:pPr>
        <w:rPr>
          <w:rFonts w:hint="default" w:ascii="Times New Roman" w:hAnsi="Times New Roman" w:eastAsia="宋体" w:cs="Times New Roman"/>
          <w:b/>
          <w:spacing w:val="0"/>
          <w:sz w:val="28"/>
          <w:szCs w:val="28"/>
          <w:lang w:eastAsia="zh-CN"/>
        </w:rPr>
      </w:pPr>
    </w:p>
    <w:p>
      <w:pPr>
        <w:pStyle w:val="2"/>
        <w:rPr>
          <w:rFonts w:hint="default" w:ascii="Times New Roman" w:hAnsi="Times New Roman" w:eastAsia="宋体" w:cs="Times New Roman"/>
          <w:b/>
          <w:spacing w:val="0"/>
          <w:sz w:val="28"/>
          <w:szCs w:val="28"/>
          <w:lang w:eastAsia="zh-CN"/>
        </w:rPr>
      </w:pPr>
    </w:p>
    <w:p>
      <w:pPr>
        <w:pStyle w:val="27"/>
        <w:rPr>
          <w:rFonts w:hint="default"/>
          <w:lang w:eastAsia="zh-CN"/>
        </w:rPr>
      </w:pPr>
    </w:p>
    <w:p>
      <w:pPr>
        <w:widowControl/>
        <w:spacing w:line="480" w:lineRule="atLeast"/>
        <w:jc w:val="center"/>
        <w:rPr>
          <w:rFonts w:hint="default" w:ascii="Times New Roman" w:hAnsi="Times New Roman" w:eastAsia="宋体" w:cs="Times New Roman"/>
          <w:b/>
          <w:spacing w:val="0"/>
          <w:sz w:val="28"/>
          <w:szCs w:val="28"/>
          <w:lang w:eastAsia="zh-CN"/>
        </w:rPr>
      </w:pPr>
    </w:p>
    <w:p>
      <w:pPr>
        <w:widowControl/>
        <w:spacing w:line="480" w:lineRule="atLeast"/>
        <w:jc w:val="center"/>
        <w:rPr>
          <w:rFonts w:hint="default" w:ascii="Times New Roman" w:hAnsi="Times New Roman" w:cs="Times New Roman"/>
          <w:lang w:eastAsia="zh-CN"/>
        </w:rPr>
      </w:pPr>
      <w:r>
        <w:rPr>
          <w:rFonts w:hint="default" w:ascii="Times New Roman" w:hAnsi="Times New Roman" w:eastAsia="宋体" w:cs="Times New Roman"/>
          <w:b/>
          <w:bCs/>
          <w:kern w:val="0"/>
          <w:sz w:val="24"/>
          <w:szCs w:val="24"/>
          <w:lang w:eastAsia="zh-CN"/>
        </w:rPr>
        <w:t>附图</w:t>
      </w:r>
      <w:r>
        <w:rPr>
          <w:rFonts w:hint="default" w:ascii="Times New Roman" w:hAnsi="Times New Roman" w:cs="Times New Roman"/>
          <w:b/>
          <w:bCs/>
          <w:kern w:val="0"/>
          <w:sz w:val="24"/>
          <w:szCs w:val="24"/>
          <w:lang w:val="en-US" w:eastAsia="zh-CN"/>
        </w:rPr>
        <w:t>3</w:t>
      </w:r>
      <w:r>
        <w:rPr>
          <w:rFonts w:hint="default" w:ascii="Times New Roman" w:hAnsi="Times New Roman" w:eastAsia="宋体" w:cs="Times New Roman"/>
          <w:b/>
          <w:bCs/>
          <w:kern w:val="0"/>
          <w:sz w:val="24"/>
          <w:szCs w:val="24"/>
          <w:lang w:val="en-US" w:eastAsia="zh-CN"/>
        </w:rPr>
        <w:t xml:space="preserve">  项目平面布置图</w:t>
      </w:r>
      <w:r>
        <w:rPr>
          <w:rFonts w:hint="default" w:ascii="Times New Roman" w:hAnsi="Times New Roman" w:cs="Times New Roman"/>
          <w:lang w:val="en-US" w:eastAsia="zh-CN"/>
        </w:rPr>
        <w:t xml:space="preserve">             </w:t>
      </w:r>
    </w:p>
    <w:p>
      <w:pPr>
        <w:pStyle w:val="21"/>
        <w:rPr>
          <w:rFonts w:hint="default" w:ascii="Times New Roman" w:hAnsi="Times New Roman" w:eastAsia="宋体" w:cs="Times New Roman"/>
          <w:b/>
          <w:bCs/>
          <w:kern w:val="0"/>
          <w:sz w:val="24"/>
          <w:szCs w:val="24"/>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80" w:lineRule="atLeast"/>
        <w:jc w:val="center"/>
        <w:rPr>
          <w:rFonts w:hint="default" w:ascii="Times New Roman" w:hAnsi="Times New Roman" w:cs="Times New Roman"/>
          <w:b/>
          <w:bCs/>
          <w:kern w:val="0"/>
          <w:sz w:val="24"/>
          <w:szCs w:val="24"/>
          <w:lang w:val="en-US" w:eastAsia="zh-CN"/>
        </w:rPr>
      </w:pPr>
      <w:r>
        <w:rPr>
          <w:rFonts w:hint="default" w:ascii="Times New Roman" w:hAnsi="Times New Roman" w:eastAsia="宋体" w:cs="Times New Roman"/>
          <w:b/>
          <w:bCs/>
          <w:kern w:val="0"/>
          <w:sz w:val="24"/>
          <w:szCs w:val="24"/>
          <w:lang w:eastAsia="zh-CN"/>
        </w:rPr>
        <w:t>附件</w:t>
      </w:r>
      <w:r>
        <w:rPr>
          <w:rFonts w:hint="default" w:ascii="Times New Roman" w:hAnsi="Times New Roman" w:eastAsia="宋体" w:cs="Times New Roman"/>
          <w:b/>
          <w:bCs/>
          <w:kern w:val="0"/>
          <w:sz w:val="24"/>
          <w:szCs w:val="24"/>
          <w:lang w:val="en-US" w:eastAsia="zh-CN"/>
        </w:rPr>
        <w:t>1  项目审批意</w:t>
      </w:r>
      <w:r>
        <w:rPr>
          <w:rFonts w:hint="default" w:ascii="Times New Roman" w:hAnsi="Times New Roman" w:cs="Times New Roman"/>
          <w:b/>
          <w:bCs/>
          <w:kern w:val="0"/>
          <w:sz w:val="24"/>
          <w:szCs w:val="24"/>
          <w:lang w:val="en-US" w:eastAsia="zh-CN"/>
        </w:rPr>
        <w:t>见</w:t>
      </w:r>
    </w:p>
    <w:p>
      <w:pPr>
        <w:pStyle w:val="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eastAsia="zh-CN"/>
        </w:rPr>
      </w:pPr>
      <w:r>
        <w:rPr>
          <w:rFonts w:hint="default" w:ascii="Times New Roman" w:hAnsi="Times New Roman" w:eastAsia="黑体" w:cs="Times New Roman"/>
          <w:b w:val="0"/>
          <w:bCs/>
          <w:sz w:val="24"/>
          <w:szCs w:val="24"/>
          <w:lang w:val="en-US" w:eastAsia="zh-CN"/>
        </w:rPr>
        <w:drawing>
          <wp:anchor distT="0" distB="0" distL="114300" distR="114300" simplePos="0" relativeHeight="251692032" behindDoc="0" locked="0" layoutInCell="1" allowOverlap="1">
            <wp:simplePos x="0" y="0"/>
            <wp:positionH relativeFrom="column">
              <wp:posOffset>-375920</wp:posOffset>
            </wp:positionH>
            <wp:positionV relativeFrom="paragraph">
              <wp:posOffset>210185</wp:posOffset>
            </wp:positionV>
            <wp:extent cx="6005195" cy="7888605"/>
            <wp:effectExtent l="0" t="0" r="14605" b="5715"/>
            <wp:wrapNone/>
            <wp:docPr id="5" name="图片 5" descr="39a09360440e4aee85ef5e53df16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9a09360440e4aee85ef5e53df16dec"/>
                    <pic:cNvPicPr>
                      <a:picLocks noChangeAspect="1"/>
                    </pic:cNvPicPr>
                  </pic:nvPicPr>
                  <pic:blipFill>
                    <a:blip r:embed="rId27"/>
                    <a:srcRect l="3747" t="11117" r="8640" b="2566"/>
                    <a:stretch>
                      <a:fillRect/>
                    </a:stretch>
                  </pic:blipFill>
                  <pic:spPr>
                    <a:xfrm>
                      <a:off x="0" y="0"/>
                      <a:ext cx="6005195" cy="7888605"/>
                    </a:xfrm>
                    <a:prstGeom prst="rect">
                      <a:avLst/>
                    </a:prstGeom>
                  </pic:spPr>
                </pic:pic>
              </a:graphicData>
            </a:graphic>
          </wp:anchor>
        </w:drawing>
      </w:r>
    </w:p>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atLeast"/>
        <w:ind w:left="0" w:leftChars="0" w:right="0" w:rightChars="0" w:firstLine="0" w:firstLineChars="0"/>
        <w:jc w:val="center"/>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附件2  营业</w:t>
      </w:r>
      <w:bookmarkStart w:id="324" w:name="_GoBack"/>
      <w:bookmarkEnd w:id="324"/>
      <w:r>
        <w:rPr>
          <w:rFonts w:hint="default" w:ascii="Times New Roman" w:hAnsi="Times New Roman" w:eastAsia="宋体" w:cs="Times New Roman"/>
          <w:b/>
          <w:bCs/>
          <w:sz w:val="24"/>
          <w:szCs w:val="24"/>
          <w:lang w:val="en-US" w:eastAsia="zh-CN"/>
        </w:rPr>
        <w:t>执照</w:t>
      </w:r>
    </w:p>
    <w:p>
      <w:pPr>
        <w:keepNext w:val="0"/>
        <w:keepLines w:val="0"/>
        <w:pageBreakBefore w:val="0"/>
        <w:widowControl/>
        <w:kinsoku/>
        <w:wordWrap/>
        <w:overflowPunct/>
        <w:topLinePunct w:val="0"/>
        <w:autoSpaceDE/>
        <w:autoSpaceDN/>
        <w:bidi w:val="0"/>
        <w:adjustRightInd/>
        <w:snapToGrid/>
        <w:spacing w:line="440" w:lineRule="atLeast"/>
        <w:ind w:left="0" w:leftChars="0" w:right="0" w:rightChars="0" w:firstLine="0" w:firstLineChars="0"/>
        <w:jc w:val="center"/>
        <w:textAlignment w:val="auto"/>
        <w:outlineLvl w:val="9"/>
        <w:rPr>
          <w:rFonts w:hint="default" w:ascii="Times New Roman" w:hAnsi="Times New Roman" w:eastAsia="宋体" w:cs="Times New Roman"/>
          <w:b/>
          <w:bCs/>
          <w:sz w:val="24"/>
          <w:szCs w:val="24"/>
          <w:lang w:val="en-US" w:eastAsia="zh-CN"/>
        </w:rPr>
      </w:pPr>
      <w:r>
        <w:rPr>
          <w:rFonts w:hint="eastAsia"/>
          <w:lang w:eastAsia="zh-CN"/>
        </w:rPr>
        <w:drawing>
          <wp:anchor distT="0" distB="0" distL="114300" distR="114300" simplePos="0" relativeHeight="251663360" behindDoc="0" locked="0" layoutInCell="1" allowOverlap="1">
            <wp:simplePos x="0" y="0"/>
            <wp:positionH relativeFrom="column">
              <wp:posOffset>64135</wp:posOffset>
            </wp:positionH>
            <wp:positionV relativeFrom="paragraph">
              <wp:posOffset>245110</wp:posOffset>
            </wp:positionV>
            <wp:extent cx="5178425" cy="8024495"/>
            <wp:effectExtent l="0" t="0" r="3175" b="14605"/>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8"/>
                  </pic:blipFill>
                  <pic:spPr>
                    <a:xfrm rot="10800000">
                      <a:off x="0" y="0"/>
                      <a:ext cx="5178425" cy="802449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440" w:lineRule="atLeast"/>
        <w:ind w:left="0" w:leftChars="0" w:right="0" w:rightChars="0" w:firstLine="0" w:firstLineChars="0"/>
        <w:jc w:val="center"/>
        <w:textAlignment w:val="auto"/>
        <w:outlineLvl w:val="9"/>
        <w:rPr>
          <w:rFonts w:hint="default" w:ascii="Times New Roman" w:hAnsi="Times New Roman" w:eastAsia="宋体"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40" w:lineRule="atLeast"/>
        <w:ind w:left="0" w:leftChars="0" w:right="0" w:rightChars="0" w:firstLine="0" w:firstLineChars="0"/>
        <w:jc w:val="center"/>
        <w:textAlignment w:val="auto"/>
        <w:outlineLvl w:val="9"/>
        <w:rPr>
          <w:rFonts w:hint="default" w:ascii="Times New Roman" w:hAnsi="Times New Roman" w:eastAsia="宋体" w:cs="Times New Roman"/>
          <w:b/>
          <w:bCs/>
          <w:sz w:val="24"/>
          <w:szCs w:val="24"/>
          <w:lang w:val="en-US" w:eastAsia="zh-CN"/>
        </w:rPr>
      </w:pPr>
    </w:p>
    <w:p>
      <w:pPr>
        <w:pStyle w:val="3"/>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beforeLines="50" w:afterLines="100"/>
        <w:jc w:val="center"/>
        <w:rPr>
          <w:rFonts w:hint="default" w:ascii="Times New Roman" w:hAnsi="Times New Roman" w:eastAsia="宋体" w:cs="Times New Roman"/>
        </w:rPr>
      </w:pPr>
      <w:r>
        <w:rPr>
          <w:rFonts w:hint="default" w:ascii="Times New Roman" w:hAnsi="Times New Roman" w:eastAsia="宋体" w:cs="Times New Roman"/>
        </w:rPr>
        <w:t>建设项目工程竣工环境保护“三同时”验收登记表</w:t>
      </w:r>
    </w:p>
    <w:p>
      <w:pPr>
        <w:ind w:firstLine="210" w:firstLineChars="100"/>
        <w:rPr>
          <w:rFonts w:hint="default" w:ascii="Times New Roman" w:hAnsi="Times New Roman" w:eastAsia="宋体" w:cs="Times New Roman"/>
        </w:rPr>
      </w:pPr>
      <w:r>
        <w:rPr>
          <w:rFonts w:hint="default" w:ascii="Times New Roman" w:hAnsi="Times New Roman" w:eastAsia="宋体" w:cs="Times New Roman"/>
        </w:rPr>
        <w:t>填表单位（盖章）：</w:t>
      </w:r>
      <w:r>
        <w:rPr>
          <w:rFonts w:hint="eastAsia" w:ascii="Times New Roman" w:hAnsi="Times New Roman" w:cs="Times New Roman"/>
          <w:lang w:val="en-US" w:eastAsia="zh-CN"/>
        </w:rPr>
        <w:t>新麦菲地毯（沧州）有限公司</w:t>
      </w:r>
      <w:r>
        <w:rPr>
          <w:rFonts w:hint="default" w:ascii="Times New Roman" w:hAnsi="Times New Roman" w:eastAsia="宋体" w:cs="Times New Roman"/>
        </w:rPr>
        <w:t xml:space="preserve">              填表人（签字）：                            项目经办人（签字）：</w:t>
      </w:r>
    </w:p>
    <w:tbl>
      <w:tblPr>
        <w:tblStyle w:val="22"/>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733"/>
        <w:gridCol w:w="829"/>
        <w:gridCol w:w="139"/>
        <w:gridCol w:w="1021"/>
        <w:gridCol w:w="904"/>
        <w:gridCol w:w="117"/>
        <w:gridCol w:w="914"/>
        <w:gridCol w:w="693"/>
        <w:gridCol w:w="745"/>
        <w:gridCol w:w="986"/>
        <w:gridCol w:w="290"/>
        <w:gridCol w:w="553"/>
        <w:gridCol w:w="1883"/>
        <w:gridCol w:w="1201"/>
        <w:gridCol w:w="523"/>
        <w:gridCol w:w="470"/>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restart"/>
          </w:tcPr>
          <w:p>
            <w:pPr>
              <w:spacing w:line="260" w:lineRule="exact"/>
              <w:rPr>
                <w:rFonts w:hint="default" w:ascii="Times New Roman" w:hAnsi="Times New Roman" w:eastAsia="宋体" w:cs="Times New Roman"/>
                <w:b w:val="0"/>
                <w:bCs w:val="0"/>
                <w:color w:val="auto"/>
                <w:sz w:val="15"/>
                <w:szCs w:val="15"/>
              </w:rPr>
            </w:pPr>
          </w:p>
          <w:p>
            <w:pPr>
              <w:spacing w:line="260" w:lineRule="exact"/>
              <w:rPr>
                <w:rFonts w:hint="default" w:ascii="Times New Roman" w:hAnsi="Times New Roman" w:eastAsia="宋体" w:cs="Times New Roman"/>
                <w:b w:val="0"/>
                <w:bCs w:val="0"/>
                <w:color w:val="auto"/>
                <w:sz w:val="15"/>
                <w:szCs w:val="15"/>
              </w:rPr>
            </w:pPr>
          </w:p>
          <w:p>
            <w:pPr>
              <w:spacing w:line="260" w:lineRule="exact"/>
              <w:rPr>
                <w:rFonts w:hint="default" w:ascii="Times New Roman" w:hAnsi="Times New Roman" w:eastAsia="宋体" w:cs="Times New Roman"/>
                <w:b w:val="0"/>
                <w:bCs w:val="0"/>
                <w:color w:val="auto"/>
                <w:sz w:val="15"/>
                <w:szCs w:val="15"/>
              </w:rPr>
            </w:pPr>
          </w:p>
          <w:p>
            <w:pPr>
              <w:spacing w:line="260" w:lineRule="exact"/>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建设项目</w:t>
            </w:r>
          </w:p>
        </w:tc>
        <w:tc>
          <w:tcPr>
            <w:tcW w:w="186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项目名称</w:t>
            </w:r>
          </w:p>
        </w:tc>
        <w:tc>
          <w:tcPr>
            <w:tcW w:w="4617"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新建年产300万平方米地毯项目</w:t>
            </w:r>
          </w:p>
        </w:tc>
        <w:tc>
          <w:tcPr>
            <w:tcW w:w="202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项目代码</w:t>
            </w:r>
          </w:p>
        </w:tc>
        <w:tc>
          <w:tcPr>
            <w:tcW w:w="24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15"/>
                <w:szCs w:val="15"/>
                <w:highlight w:val="none"/>
              </w:rPr>
            </w:pPr>
          </w:p>
        </w:tc>
        <w:tc>
          <w:tcPr>
            <w:tcW w:w="17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建设地点</w:t>
            </w:r>
          </w:p>
        </w:tc>
        <w:tc>
          <w:tcPr>
            <w:tcW w:w="2766"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15"/>
                <w:szCs w:val="15"/>
                <w:highlight w:val="none"/>
                <w:lang w:val="en-US" w:eastAsia="zh-CN"/>
              </w:rPr>
            </w:pPr>
            <w:r>
              <w:rPr>
                <w:rFonts w:hint="default" w:ascii="Times New Roman" w:hAnsi="Times New Roman" w:eastAsia="宋体" w:cs="Times New Roman"/>
                <w:b w:val="0"/>
                <w:bCs w:val="0"/>
                <w:color w:val="auto"/>
                <w:sz w:val="15"/>
                <w:szCs w:val="15"/>
                <w:highlight w:val="none"/>
                <w:lang w:val="en-US" w:eastAsia="zh-CN"/>
              </w:rPr>
              <w:t>河北省沧州市沧县高川乡高屯村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60" w:lineRule="exact"/>
              <w:rPr>
                <w:rFonts w:hint="default" w:ascii="Times New Roman" w:hAnsi="Times New Roman" w:eastAsia="宋体" w:cs="Times New Roman"/>
                <w:b w:val="0"/>
                <w:bCs w:val="0"/>
                <w:color w:val="auto"/>
                <w:sz w:val="15"/>
                <w:szCs w:val="15"/>
              </w:rPr>
            </w:pPr>
          </w:p>
        </w:tc>
        <w:tc>
          <w:tcPr>
            <w:tcW w:w="1867"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行业分类(分类管理名录)</w:t>
            </w:r>
          </w:p>
        </w:tc>
        <w:tc>
          <w:tcPr>
            <w:tcW w:w="4617"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日用塑料制品制造C2927</w:t>
            </w:r>
          </w:p>
        </w:tc>
        <w:tc>
          <w:tcPr>
            <w:tcW w:w="2021"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建设性质</w:t>
            </w:r>
          </w:p>
        </w:tc>
        <w:tc>
          <w:tcPr>
            <w:tcW w:w="6926" w:type="dxa"/>
            <w:gridSpan w:val="9"/>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mc:AlternateContent>
                <mc:Choice Requires="wps">
                  <w:drawing>
                    <wp:anchor distT="0" distB="0" distL="114300" distR="114300" simplePos="0" relativeHeight="251662336" behindDoc="0" locked="0" layoutInCell="1" allowOverlap="1">
                      <wp:simplePos x="0" y="0"/>
                      <wp:positionH relativeFrom="column">
                        <wp:posOffset>-8890</wp:posOffset>
                      </wp:positionH>
                      <wp:positionV relativeFrom="paragraph">
                        <wp:posOffset>60325</wp:posOffset>
                      </wp:positionV>
                      <wp:extent cx="66675" cy="71120"/>
                      <wp:effectExtent l="6350" t="6350" r="22225" b="17780"/>
                      <wp:wrapNone/>
                      <wp:docPr id="7" name="矩形 7"/>
                      <wp:cNvGraphicFramePr/>
                      <a:graphic xmlns:a="http://schemas.openxmlformats.org/drawingml/2006/main">
                        <a:graphicData uri="http://schemas.microsoft.com/office/word/2010/wordprocessingShape">
                          <wps:wsp>
                            <wps:cNvSpPr/>
                            <wps:spPr>
                              <a:xfrm>
                                <a:off x="0" y="0"/>
                                <a:ext cx="66675" cy="71120"/>
                              </a:xfrm>
                              <a:prstGeom prst="rect">
                                <a:avLst/>
                              </a:prstGeom>
                              <a:solidFill>
                                <a:srgbClr val="000000"/>
                              </a:solidFill>
                              <a:ln w="12700" cap="flat" cmpd="sng">
                                <a:solidFill>
                                  <a:srgbClr val="000000"/>
                                </a:solidFill>
                                <a:prstDash val="solid"/>
                                <a:miter/>
                                <a:headEnd type="none" w="med" len="med"/>
                                <a:tailEnd type="none" w="med" len="med"/>
                              </a:ln>
                              <a:effectLst/>
                            </wps:spPr>
                            <wps:txbx>
                              <w:txbxContent>
                                <w:p>
                                  <w:pPr>
                                    <w:jc w:val="center"/>
                                  </w:pPr>
                                </w:p>
                              </w:txbxContent>
                            </wps:txbx>
                            <wps:bodyPr anchor="ctr" upright="1"/>
                          </wps:wsp>
                        </a:graphicData>
                      </a:graphic>
                    </wp:anchor>
                  </w:drawing>
                </mc:Choice>
                <mc:Fallback>
                  <w:pict>
                    <v:rect id="_x0000_s1026" o:spid="_x0000_s1026" o:spt="1" style="position:absolute;left:0pt;margin-left:-0.7pt;margin-top:4.75pt;height:5.6pt;width:5.25pt;z-index:251662336;v-text-anchor:middle;mso-width-relative:page;mso-height-relative:page;" fillcolor="#000000" filled="t" stroked="t" coordsize="21600,21600" o:gfxdata="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&#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jO/y1gAAAAUBAAAPAAAAAAAAAAEAIAAAACIAAABk&#10;cnMvZG93bnJldi54bWxQSwECFAAUAAAACACHTuJA+9IrHAgCAABCBAAADgAAAAAAAAABACAAAAAl&#10;AQAAZHJzL2Uyb0RvYy54bWxQSwUGAAAAAAYABgBZAQAAnwUAAAAA&#10;">
                      <v:fill on="t" focussize="0,0"/>
                      <v:stroke weight="1pt" color="#000000" joinstyle="miter"/>
                      <v:imagedata o:title=""/>
                      <o:lock v:ext="edit" aspectratio="f"/>
                      <v:textbox>
                        <w:txbxContent>
                          <w:p>
                            <w:pPr>
                              <w:jc w:val="center"/>
                            </w:pPr>
                          </w:p>
                        </w:txbxContent>
                      </v:textbox>
                    </v:rect>
                  </w:pict>
                </mc:Fallback>
              </mc:AlternateContent>
            </w:r>
            <w:r>
              <w:rPr>
                <w:rFonts w:hint="default" w:ascii="Times New Roman" w:hAnsi="Times New Roman" w:eastAsia="宋体" w:cs="Times New Roman"/>
                <w:b w:val="0"/>
                <w:bCs w:val="0"/>
                <w:color w:val="auto"/>
                <w:sz w:val="15"/>
                <w:szCs w:val="15"/>
                <w:highlight w:val="none"/>
              </w:rPr>
              <mc:AlternateContent>
                <mc:Choice Requires="wps">
                  <w:drawing>
                    <wp:anchor distT="0" distB="0" distL="114300" distR="114300" simplePos="0" relativeHeight="251661312" behindDoc="0" locked="0" layoutInCell="1" allowOverlap="1">
                      <wp:simplePos x="0" y="0"/>
                      <wp:positionH relativeFrom="column">
                        <wp:posOffset>374015</wp:posOffset>
                      </wp:positionH>
                      <wp:positionV relativeFrom="paragraph">
                        <wp:posOffset>60325</wp:posOffset>
                      </wp:positionV>
                      <wp:extent cx="66675" cy="71120"/>
                      <wp:effectExtent l="6350" t="6350" r="22225" b="17780"/>
                      <wp:wrapNone/>
                      <wp:docPr id="26" name="矩形 26"/>
                      <wp:cNvGraphicFramePr/>
                      <a:graphic xmlns:a="http://schemas.openxmlformats.org/drawingml/2006/main">
                        <a:graphicData uri="http://schemas.microsoft.com/office/word/2010/wordprocessingShape">
                          <wps:wsp>
                            <wps:cNvSpPr/>
                            <wps:spPr>
                              <a:xfrm>
                                <a:off x="0" y="0"/>
                                <a:ext cx="66675" cy="711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pPr>
                                </w:p>
                              </w:txbxContent>
                            </wps:txbx>
                            <wps:bodyPr anchor="ctr" upright="1"/>
                          </wps:wsp>
                        </a:graphicData>
                      </a:graphic>
                    </wp:anchor>
                  </w:drawing>
                </mc:Choice>
                <mc:Fallback>
                  <w:pict>
                    <v:rect id="_x0000_s1026" o:spid="_x0000_s1026" o:spt="1" style="position:absolute;left:0pt;margin-left:29.45pt;margin-top:4.75pt;height:5.6pt;width:5.25pt;z-index:251661312;v-text-anchor:middle;mso-width-relative:page;mso-height-relative:page;" fillcolor="#FFFFFF" filled="t" stroked="t" coordsize="21600,21600" o:gfxdata="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zeUSvUAAAABgEAAA8AAAAAAAAAAQAgAAAA&#10;IgAAAGRycy9kb3ducmV2LnhtbFBLAQIUABQAAAAIAIdO4kDcqEQwDwIAAEQEAAAOAAAAAAAAAAEA&#10;IAAAACMBAABkcnMvZTJvRG9jLnhtbFBLBQYAAAAABgAGAFkBAACkBQAAAAA=&#10;">
                      <v:fill on="t" focussize="0,0"/>
                      <v:stroke weight="1pt" color="#000000" joinstyle="miter"/>
                      <v:imagedata o:title=""/>
                      <o:lock v:ext="edit" aspectratio="f"/>
                      <v:textbox>
                        <w:txbxContent>
                          <w:p>
                            <w:pPr>
                              <w:jc w:val="center"/>
                            </w:pPr>
                          </w:p>
                        </w:txbxContent>
                      </v:textbox>
                    </v:rect>
                  </w:pict>
                </mc:Fallback>
              </mc:AlternateContent>
            </w:r>
            <w:r>
              <w:rPr>
                <w:rFonts w:hint="default" w:ascii="Times New Roman" w:hAnsi="Times New Roman" w:eastAsia="宋体" w:cs="Times New Roman"/>
                <w:b w:val="0"/>
                <w:bCs w:val="0"/>
                <w:color w:val="auto"/>
                <w:sz w:val="15"/>
                <w:szCs w:val="15"/>
                <w:highlight w:val="none"/>
              </w:rPr>
              <mc:AlternateContent>
                <mc:Choice Requires="wps">
                  <w:drawing>
                    <wp:anchor distT="0" distB="0" distL="114300" distR="114300" simplePos="0" relativeHeight="251660288" behindDoc="0" locked="0" layoutInCell="1" allowOverlap="1">
                      <wp:simplePos x="0" y="0"/>
                      <wp:positionH relativeFrom="column">
                        <wp:posOffset>861060</wp:posOffset>
                      </wp:positionH>
                      <wp:positionV relativeFrom="paragraph">
                        <wp:posOffset>68580</wp:posOffset>
                      </wp:positionV>
                      <wp:extent cx="66675" cy="71120"/>
                      <wp:effectExtent l="6350" t="6350" r="22225" b="17780"/>
                      <wp:wrapNone/>
                      <wp:docPr id="25" name="矩形 25"/>
                      <wp:cNvGraphicFramePr/>
                      <a:graphic xmlns:a="http://schemas.openxmlformats.org/drawingml/2006/main">
                        <a:graphicData uri="http://schemas.microsoft.com/office/word/2010/wordprocessingShape">
                          <wps:wsp>
                            <wps:cNvSpPr/>
                            <wps:spPr>
                              <a:xfrm>
                                <a:off x="0" y="0"/>
                                <a:ext cx="66675" cy="71120"/>
                              </a:xfrm>
                              <a:prstGeom prst="rect">
                                <a:avLst/>
                              </a:prstGeom>
                              <a:solidFill>
                                <a:srgbClr val="FFFFFF"/>
                              </a:solidFill>
                              <a:ln w="12700" cap="flat" cmpd="sng">
                                <a:solidFill>
                                  <a:srgbClr val="000000"/>
                                </a:solidFill>
                                <a:prstDash val="solid"/>
                                <a:miter/>
                                <a:headEnd type="none" w="med" len="med"/>
                                <a:tailEnd type="none" w="med" len="med"/>
                              </a:ln>
                              <a:effectLst/>
                            </wps:spPr>
                            <wps:bodyPr anchor="ctr" upright="1"/>
                          </wps:wsp>
                        </a:graphicData>
                      </a:graphic>
                    </wp:anchor>
                  </w:drawing>
                </mc:Choice>
                <mc:Fallback>
                  <w:pict>
                    <v:rect id="_x0000_s1026" o:spid="_x0000_s1026" o:spt="1" style="position:absolute;left:0pt;margin-left:67.8pt;margin-top:5.4pt;height:5.6pt;width:5.25pt;z-index:251660288;v-text-anchor:middle;mso-width-relative:page;mso-height-relative:page;" fillcolor="#FFFFFF" filled="t" stroked="t" coordsize="21600,21600" o:gfxdata="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hWxB9QAAAAJAQAADwAAAAAAAAABACAAAAAiAAAAZHJz&#10;L2Rvd25yZXYueG1sUEsBAhQAFAAAAAgAh07iQAjQQKsIAgAAOQQAAA4AAAAAAAAAAQAgAAAAIwEA&#10;AGRycy9lMm9Eb2MueG1sUEsFBgAAAAAGAAYAWQEAAJ0FAAAAAA==&#10;">
                      <v:fill on="t" focussize="0,0"/>
                      <v:stroke weight="1pt" color="#000000" joinstyle="miter"/>
                      <v:imagedata o:title=""/>
                      <o:lock v:ext="edit" aspectratio="f"/>
                    </v:rect>
                  </w:pict>
                </mc:Fallback>
              </mc:AlternateContent>
            </w:r>
            <w:r>
              <w:rPr>
                <w:rFonts w:hint="default" w:ascii="Times New Roman" w:hAnsi="Times New Roman" w:eastAsia="宋体" w:cs="Times New Roman"/>
                <w:b w:val="0"/>
                <w:bCs w:val="0"/>
                <w:color w:val="auto"/>
                <w:sz w:val="15"/>
                <w:szCs w:val="15"/>
                <w:highlight w:val="none"/>
              </w:rPr>
              <w:t xml:space="preserve">  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60" w:lineRule="exact"/>
              <w:rPr>
                <w:rFonts w:hint="default" w:ascii="Times New Roman" w:hAnsi="Times New Roman" w:eastAsia="宋体" w:cs="Times New Roman"/>
                <w:b w:val="0"/>
                <w:bCs w:val="0"/>
                <w:color w:val="auto"/>
                <w:sz w:val="15"/>
                <w:szCs w:val="15"/>
              </w:rPr>
            </w:pPr>
          </w:p>
        </w:tc>
        <w:tc>
          <w:tcPr>
            <w:tcW w:w="1867" w:type="dxa"/>
            <w:gridSpan w:val="3"/>
            <w:vAlign w:val="center"/>
          </w:tcPr>
          <w:p>
            <w:pPr>
              <w:spacing w:line="260" w:lineRule="exact"/>
              <w:jc w:val="lef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设计生产能力</w:t>
            </w:r>
          </w:p>
        </w:tc>
        <w:tc>
          <w:tcPr>
            <w:tcW w:w="4617"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val="0"/>
                <w:bCs w:val="0"/>
                <w:color w:val="auto"/>
                <w:kern w:val="2"/>
                <w:sz w:val="15"/>
                <w:szCs w:val="15"/>
                <w:highlight w:val="none"/>
                <w:lang w:val="en-US" w:eastAsia="zh-CN" w:bidi="ar-SA"/>
              </w:rPr>
            </w:pPr>
            <w:r>
              <w:rPr>
                <w:rFonts w:hint="eastAsia" w:ascii="Times New Roman" w:hAnsi="Times New Roman" w:eastAsia="宋体" w:cs="Times New Roman"/>
                <w:b w:val="0"/>
                <w:bCs w:val="0"/>
                <w:sz w:val="15"/>
                <w:szCs w:val="15"/>
                <w:lang w:val="en-US" w:eastAsia="zh-CN"/>
              </w:rPr>
              <w:t>年产300万平方米地毯</w:t>
            </w:r>
          </w:p>
        </w:tc>
        <w:tc>
          <w:tcPr>
            <w:tcW w:w="2021" w:type="dxa"/>
            <w:gridSpan w:val="3"/>
            <w:vAlign w:val="center"/>
          </w:tcPr>
          <w:p>
            <w:pPr>
              <w:spacing w:line="260" w:lineRule="exact"/>
              <w:jc w:val="lef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实际生产能力</w:t>
            </w:r>
          </w:p>
        </w:tc>
        <w:tc>
          <w:tcPr>
            <w:tcW w:w="2436" w:type="dxa"/>
            <w:gridSpan w:val="2"/>
            <w:vAlign w:val="center"/>
          </w:tcPr>
          <w:p>
            <w:pPr>
              <w:spacing w:line="260" w:lineRule="exact"/>
              <w:jc w:val="left"/>
              <w:rPr>
                <w:rFonts w:hint="default" w:ascii="Times New Roman" w:hAnsi="Times New Roman" w:eastAsia="宋体" w:cs="Times New Roman"/>
                <w:b w:val="0"/>
                <w:bCs w:val="0"/>
                <w:color w:val="auto"/>
                <w:kern w:val="2"/>
                <w:sz w:val="15"/>
                <w:szCs w:val="15"/>
                <w:highlight w:val="none"/>
                <w:lang w:val="en-US" w:eastAsia="zh-CN" w:bidi="ar-SA"/>
              </w:rPr>
            </w:pPr>
            <w:r>
              <w:rPr>
                <w:rFonts w:hint="eastAsia" w:ascii="Times New Roman" w:hAnsi="Times New Roman" w:eastAsia="宋体" w:cs="Times New Roman"/>
                <w:b w:val="0"/>
                <w:bCs w:val="0"/>
                <w:sz w:val="15"/>
                <w:szCs w:val="15"/>
                <w:lang w:val="en-US" w:eastAsia="zh-CN"/>
              </w:rPr>
              <w:t>年产300万平方米地毯</w:t>
            </w:r>
          </w:p>
        </w:tc>
        <w:tc>
          <w:tcPr>
            <w:tcW w:w="1724" w:type="dxa"/>
            <w:gridSpan w:val="2"/>
            <w:vAlign w:val="center"/>
          </w:tcPr>
          <w:p>
            <w:pPr>
              <w:spacing w:line="260" w:lineRule="exact"/>
              <w:jc w:val="lef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环评单位</w:t>
            </w:r>
          </w:p>
        </w:tc>
        <w:tc>
          <w:tcPr>
            <w:tcW w:w="2766" w:type="dxa"/>
            <w:gridSpan w:val="5"/>
            <w:vAlign w:val="center"/>
          </w:tcPr>
          <w:p>
            <w:pPr>
              <w:spacing w:line="260" w:lineRule="exact"/>
              <w:rPr>
                <w:rFonts w:hint="default" w:ascii="Times New Roman" w:hAnsi="Times New Roman" w:eastAsia="宋体" w:cs="Times New Roman"/>
                <w:b w:val="0"/>
                <w:bCs w:val="0"/>
                <w:color w:val="auto"/>
                <w:kern w:val="2"/>
                <w:sz w:val="15"/>
                <w:szCs w:val="15"/>
                <w:highlight w:val="none"/>
                <w:lang w:val="en-US" w:eastAsia="zh-CN" w:bidi="ar-SA"/>
              </w:rPr>
            </w:pPr>
            <w:r>
              <w:rPr>
                <w:rFonts w:hint="eastAsia" w:ascii="Times New Roman" w:hAnsi="Times New Roman" w:cs="Times New Roman"/>
                <w:b w:val="0"/>
                <w:bCs w:val="0"/>
                <w:sz w:val="15"/>
                <w:szCs w:val="15"/>
                <w:lang w:val="en-US" w:eastAsia="zh-CN"/>
              </w:rPr>
              <w:t>河北仁水环境科技有限公司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60" w:lineRule="exact"/>
              <w:rPr>
                <w:rFonts w:hint="default" w:ascii="Times New Roman" w:hAnsi="Times New Roman" w:eastAsia="宋体" w:cs="Times New Roman"/>
                <w:b w:val="0"/>
                <w:bCs w:val="0"/>
                <w:color w:val="auto"/>
                <w:sz w:val="15"/>
                <w:szCs w:val="15"/>
              </w:rPr>
            </w:pPr>
          </w:p>
        </w:tc>
        <w:tc>
          <w:tcPr>
            <w:tcW w:w="1867"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环评文件审批机关</w:t>
            </w:r>
          </w:p>
        </w:tc>
        <w:tc>
          <w:tcPr>
            <w:tcW w:w="4617"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val="0"/>
                <w:bCs w:val="0"/>
                <w:color w:val="auto"/>
                <w:kern w:val="2"/>
                <w:sz w:val="15"/>
                <w:szCs w:val="15"/>
                <w:highlight w:val="none"/>
                <w:lang w:val="en-US" w:eastAsia="zh-CN" w:bidi="ar-SA"/>
              </w:rPr>
            </w:pPr>
            <w:r>
              <w:rPr>
                <w:rFonts w:hint="eastAsia" w:ascii="Times New Roman" w:hAnsi="Times New Roman" w:cs="Times New Roman"/>
                <w:b w:val="0"/>
                <w:bCs w:val="0"/>
                <w:sz w:val="15"/>
                <w:szCs w:val="15"/>
                <w:lang w:val="en-US" w:eastAsia="zh-CN"/>
              </w:rPr>
              <w:t>沧县行政审批局</w:t>
            </w:r>
          </w:p>
        </w:tc>
        <w:tc>
          <w:tcPr>
            <w:tcW w:w="2021"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审批文号</w:t>
            </w:r>
          </w:p>
        </w:tc>
        <w:tc>
          <w:tcPr>
            <w:tcW w:w="2436" w:type="dxa"/>
            <w:gridSpan w:val="2"/>
          </w:tcPr>
          <w:p>
            <w:pPr>
              <w:spacing w:line="260" w:lineRule="exact"/>
              <w:rPr>
                <w:rFonts w:hint="default" w:ascii="Times New Roman" w:hAnsi="Times New Roman" w:eastAsia="宋体" w:cs="Times New Roman"/>
                <w:b w:val="0"/>
                <w:bCs w:val="0"/>
                <w:color w:val="auto"/>
                <w:kern w:val="2"/>
                <w:sz w:val="15"/>
                <w:szCs w:val="15"/>
                <w:highlight w:val="none"/>
                <w:lang w:val="en-US" w:eastAsia="zh-CN" w:bidi="ar-SA"/>
              </w:rPr>
            </w:pPr>
            <w:r>
              <w:rPr>
                <w:rFonts w:hint="default" w:ascii="Times New Roman" w:hAnsi="Times New Roman" w:eastAsia="宋体" w:cs="Times New Roman"/>
                <w:b w:val="0"/>
                <w:bCs w:val="0"/>
                <w:color w:val="auto"/>
                <w:kern w:val="2"/>
                <w:sz w:val="15"/>
                <w:szCs w:val="15"/>
                <w:highlight w:val="none"/>
                <w:lang w:val="en-US" w:eastAsia="zh-CN" w:bidi="ar-SA"/>
              </w:rPr>
              <w:t>沧县行审（环）字〔2021〕151号</w:t>
            </w:r>
          </w:p>
        </w:tc>
        <w:tc>
          <w:tcPr>
            <w:tcW w:w="1724"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环评文件类型</w:t>
            </w:r>
          </w:p>
        </w:tc>
        <w:tc>
          <w:tcPr>
            <w:tcW w:w="2766" w:type="dxa"/>
            <w:gridSpan w:val="5"/>
          </w:tcPr>
          <w:p>
            <w:pPr>
              <w:spacing w:line="260" w:lineRule="exact"/>
              <w:rPr>
                <w:rFonts w:hint="default" w:ascii="Times New Roman" w:hAnsi="Times New Roman" w:eastAsia="宋体" w:cs="Times New Roman"/>
                <w:b w:val="0"/>
                <w:bCs w:val="0"/>
                <w:color w:val="auto"/>
                <w:kern w:val="2"/>
                <w:sz w:val="15"/>
                <w:szCs w:val="15"/>
                <w:highlight w:val="none"/>
                <w:lang w:val="en-US" w:eastAsia="zh-CN" w:bidi="ar-SA"/>
              </w:rPr>
            </w:pPr>
            <w:r>
              <w:rPr>
                <w:rFonts w:hint="default" w:ascii="Times New Roman" w:hAnsi="Times New Roman" w:eastAsia="宋体" w:cs="Times New Roman"/>
                <w:b w:val="0"/>
                <w:bCs w:val="0"/>
                <w:color w:val="auto"/>
                <w:kern w:val="2"/>
                <w:sz w:val="15"/>
                <w:szCs w:val="15"/>
                <w:highlight w:val="none"/>
                <w:lang w:val="en-US" w:eastAsia="zh-CN" w:bidi="ar-SA"/>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60" w:lineRule="exact"/>
              <w:rPr>
                <w:rFonts w:hint="default" w:ascii="Times New Roman" w:hAnsi="Times New Roman" w:eastAsia="宋体" w:cs="Times New Roman"/>
                <w:b w:val="0"/>
                <w:bCs w:val="0"/>
                <w:color w:val="auto"/>
                <w:sz w:val="15"/>
                <w:szCs w:val="15"/>
              </w:rPr>
            </w:pPr>
          </w:p>
        </w:tc>
        <w:tc>
          <w:tcPr>
            <w:tcW w:w="1867"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开工日期</w:t>
            </w:r>
          </w:p>
        </w:tc>
        <w:tc>
          <w:tcPr>
            <w:tcW w:w="4617" w:type="dxa"/>
            <w:gridSpan w:val="7"/>
          </w:tcPr>
          <w:p>
            <w:pPr>
              <w:spacing w:line="260" w:lineRule="exact"/>
              <w:rPr>
                <w:rFonts w:hint="default" w:ascii="Times New Roman" w:hAnsi="Times New Roman" w:eastAsia="宋体" w:cs="Times New Roman"/>
                <w:b w:val="0"/>
                <w:bCs w:val="0"/>
                <w:color w:val="auto"/>
                <w:sz w:val="15"/>
                <w:szCs w:val="15"/>
                <w:highlight w:val="none"/>
              </w:rPr>
            </w:pPr>
          </w:p>
        </w:tc>
        <w:tc>
          <w:tcPr>
            <w:tcW w:w="2021"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竣工日期</w:t>
            </w:r>
          </w:p>
        </w:tc>
        <w:tc>
          <w:tcPr>
            <w:tcW w:w="2436"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724"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排污许可证申领时间</w:t>
            </w:r>
          </w:p>
        </w:tc>
        <w:tc>
          <w:tcPr>
            <w:tcW w:w="2766" w:type="dxa"/>
            <w:gridSpan w:val="5"/>
          </w:tcPr>
          <w:p>
            <w:pPr>
              <w:spacing w:line="260" w:lineRule="exact"/>
              <w:rPr>
                <w:rFonts w:hint="default" w:ascii="Times New Roman" w:hAnsi="Times New Roman" w:eastAsia="宋体" w:cs="Times New Roman"/>
                <w:b w:val="0"/>
                <w:bCs w:val="0"/>
                <w:color w:val="auto"/>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60" w:lineRule="exact"/>
              <w:rPr>
                <w:rFonts w:hint="default" w:ascii="Times New Roman" w:hAnsi="Times New Roman" w:eastAsia="宋体" w:cs="Times New Roman"/>
                <w:b w:val="0"/>
                <w:bCs w:val="0"/>
                <w:color w:val="auto"/>
                <w:sz w:val="15"/>
                <w:szCs w:val="15"/>
              </w:rPr>
            </w:pPr>
          </w:p>
        </w:tc>
        <w:tc>
          <w:tcPr>
            <w:tcW w:w="1867"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环保设施设计单位</w:t>
            </w:r>
          </w:p>
        </w:tc>
        <w:tc>
          <w:tcPr>
            <w:tcW w:w="4617" w:type="dxa"/>
            <w:gridSpan w:val="7"/>
          </w:tcPr>
          <w:p>
            <w:pPr>
              <w:spacing w:line="260" w:lineRule="exact"/>
              <w:rPr>
                <w:rFonts w:hint="default" w:ascii="Times New Roman" w:hAnsi="Times New Roman" w:eastAsia="宋体" w:cs="Times New Roman"/>
                <w:b w:val="0"/>
                <w:bCs w:val="0"/>
                <w:color w:val="auto"/>
                <w:sz w:val="15"/>
                <w:szCs w:val="15"/>
                <w:highlight w:val="none"/>
              </w:rPr>
            </w:pPr>
          </w:p>
        </w:tc>
        <w:tc>
          <w:tcPr>
            <w:tcW w:w="2021"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环保设施施工单位</w:t>
            </w:r>
          </w:p>
        </w:tc>
        <w:tc>
          <w:tcPr>
            <w:tcW w:w="2436"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724"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本工程排污许可证编号</w:t>
            </w:r>
          </w:p>
        </w:tc>
        <w:tc>
          <w:tcPr>
            <w:tcW w:w="2766" w:type="dxa"/>
            <w:gridSpan w:val="5"/>
          </w:tcPr>
          <w:p>
            <w:pPr>
              <w:spacing w:line="260" w:lineRule="exact"/>
              <w:rPr>
                <w:rFonts w:hint="default" w:ascii="Times New Roman" w:hAnsi="Times New Roman" w:eastAsia="宋体" w:cs="Times New Roman"/>
                <w:b w:val="0"/>
                <w:bCs w:val="0"/>
                <w:color w:val="auto"/>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60" w:lineRule="exact"/>
              <w:rPr>
                <w:rFonts w:hint="default" w:ascii="Times New Roman" w:hAnsi="Times New Roman" w:eastAsia="宋体" w:cs="Times New Roman"/>
                <w:b w:val="0"/>
                <w:bCs w:val="0"/>
                <w:color w:val="auto"/>
                <w:sz w:val="15"/>
                <w:szCs w:val="15"/>
              </w:rPr>
            </w:pPr>
          </w:p>
        </w:tc>
        <w:tc>
          <w:tcPr>
            <w:tcW w:w="1867"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验收单位</w:t>
            </w:r>
          </w:p>
        </w:tc>
        <w:tc>
          <w:tcPr>
            <w:tcW w:w="4617" w:type="dxa"/>
            <w:gridSpan w:val="7"/>
          </w:tcPr>
          <w:p>
            <w:pPr>
              <w:spacing w:line="260" w:lineRule="exact"/>
              <w:rPr>
                <w:rFonts w:hint="default" w:ascii="Times New Roman" w:hAnsi="Times New Roman" w:eastAsia="宋体" w:cs="Times New Roman"/>
                <w:b w:val="0"/>
                <w:bCs w:val="0"/>
                <w:color w:val="auto"/>
                <w:sz w:val="15"/>
                <w:szCs w:val="15"/>
                <w:highlight w:val="none"/>
              </w:rPr>
            </w:pPr>
          </w:p>
        </w:tc>
        <w:tc>
          <w:tcPr>
            <w:tcW w:w="2021"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环保设施监测单位</w:t>
            </w:r>
          </w:p>
        </w:tc>
        <w:tc>
          <w:tcPr>
            <w:tcW w:w="2436"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724"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验收监测时工况</w:t>
            </w:r>
          </w:p>
        </w:tc>
        <w:tc>
          <w:tcPr>
            <w:tcW w:w="2766" w:type="dxa"/>
            <w:gridSpan w:val="5"/>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60" w:lineRule="exact"/>
              <w:rPr>
                <w:rFonts w:hint="default" w:ascii="Times New Roman" w:hAnsi="Times New Roman" w:eastAsia="宋体" w:cs="Times New Roman"/>
                <w:b w:val="0"/>
                <w:bCs w:val="0"/>
                <w:color w:val="auto"/>
                <w:sz w:val="15"/>
                <w:szCs w:val="15"/>
              </w:rPr>
            </w:pPr>
          </w:p>
        </w:tc>
        <w:tc>
          <w:tcPr>
            <w:tcW w:w="1867"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投资总概算（万元）</w:t>
            </w:r>
          </w:p>
        </w:tc>
        <w:tc>
          <w:tcPr>
            <w:tcW w:w="4617" w:type="dxa"/>
            <w:gridSpan w:val="7"/>
          </w:tcPr>
          <w:p>
            <w:pPr>
              <w:spacing w:line="260" w:lineRule="exact"/>
              <w:rPr>
                <w:rFonts w:hint="default" w:ascii="Times New Roman" w:hAnsi="Times New Roman" w:eastAsia="宋体" w:cs="Times New Roman"/>
                <w:b w:val="0"/>
                <w:bCs w:val="0"/>
                <w:color w:val="auto"/>
                <w:sz w:val="15"/>
                <w:szCs w:val="15"/>
                <w:highlight w:val="none"/>
                <w:lang w:val="en-US" w:eastAsia="zh-CN"/>
              </w:rPr>
            </w:pPr>
            <w:r>
              <w:rPr>
                <w:rFonts w:hint="eastAsia" w:ascii="Times New Roman" w:hAnsi="Times New Roman" w:cs="Times New Roman"/>
                <w:b w:val="0"/>
                <w:bCs w:val="0"/>
                <w:color w:val="auto"/>
                <w:sz w:val="15"/>
                <w:szCs w:val="15"/>
                <w:highlight w:val="none"/>
                <w:lang w:val="en-US" w:eastAsia="zh-CN"/>
              </w:rPr>
              <w:t>500</w:t>
            </w:r>
          </w:p>
        </w:tc>
        <w:tc>
          <w:tcPr>
            <w:tcW w:w="2021"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环保投资总概算(万元)</w:t>
            </w:r>
          </w:p>
        </w:tc>
        <w:tc>
          <w:tcPr>
            <w:tcW w:w="2436" w:type="dxa"/>
            <w:gridSpan w:val="2"/>
          </w:tcPr>
          <w:p>
            <w:pPr>
              <w:spacing w:line="260" w:lineRule="exact"/>
              <w:rPr>
                <w:rFonts w:hint="default" w:ascii="Times New Roman" w:hAnsi="Times New Roman" w:eastAsia="宋体" w:cs="Times New Roman"/>
                <w:b w:val="0"/>
                <w:bCs w:val="0"/>
                <w:color w:val="auto"/>
                <w:sz w:val="15"/>
                <w:szCs w:val="15"/>
                <w:highlight w:val="none"/>
                <w:lang w:val="en-US" w:eastAsia="zh-CN"/>
              </w:rPr>
            </w:pPr>
            <w:r>
              <w:rPr>
                <w:rFonts w:hint="eastAsia" w:ascii="Times New Roman" w:hAnsi="Times New Roman" w:cs="Times New Roman"/>
                <w:b w:val="0"/>
                <w:bCs w:val="0"/>
                <w:color w:val="auto"/>
                <w:sz w:val="15"/>
                <w:szCs w:val="15"/>
                <w:highlight w:val="none"/>
                <w:lang w:val="en-US" w:eastAsia="zh-CN"/>
              </w:rPr>
              <w:t>5</w:t>
            </w:r>
          </w:p>
        </w:tc>
        <w:tc>
          <w:tcPr>
            <w:tcW w:w="1724"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所占比例（%）</w:t>
            </w:r>
          </w:p>
        </w:tc>
        <w:tc>
          <w:tcPr>
            <w:tcW w:w="2766" w:type="dxa"/>
            <w:gridSpan w:val="5"/>
          </w:tcPr>
          <w:p>
            <w:pPr>
              <w:spacing w:line="260" w:lineRule="exact"/>
              <w:rPr>
                <w:rFonts w:hint="default" w:ascii="Times New Roman" w:hAnsi="Times New Roman" w:eastAsia="宋体" w:cs="Times New Roman"/>
                <w:b w:val="0"/>
                <w:bCs w:val="0"/>
                <w:color w:val="auto"/>
                <w:sz w:val="15"/>
                <w:szCs w:val="15"/>
                <w:highlight w:val="none"/>
                <w:lang w:val="en-US" w:eastAsia="zh-CN"/>
              </w:rPr>
            </w:pPr>
            <w:r>
              <w:rPr>
                <w:rFonts w:hint="eastAsia" w:ascii="Times New Roman" w:hAnsi="Times New Roman" w:cs="Times New Roman"/>
                <w:b w:val="0"/>
                <w:bCs w:val="0"/>
                <w:color w:val="auto"/>
                <w:sz w:val="15"/>
                <w:szCs w:val="15"/>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60" w:lineRule="exact"/>
              <w:rPr>
                <w:rFonts w:hint="default" w:ascii="Times New Roman" w:hAnsi="Times New Roman" w:eastAsia="宋体" w:cs="Times New Roman"/>
                <w:b w:val="0"/>
                <w:bCs w:val="0"/>
                <w:color w:val="auto"/>
                <w:sz w:val="15"/>
                <w:szCs w:val="15"/>
              </w:rPr>
            </w:pPr>
          </w:p>
        </w:tc>
        <w:tc>
          <w:tcPr>
            <w:tcW w:w="1867"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实际总投资（万元）</w:t>
            </w:r>
          </w:p>
        </w:tc>
        <w:tc>
          <w:tcPr>
            <w:tcW w:w="4617" w:type="dxa"/>
            <w:gridSpan w:val="7"/>
          </w:tcPr>
          <w:p>
            <w:pPr>
              <w:spacing w:line="260" w:lineRule="exact"/>
              <w:rPr>
                <w:rFonts w:hint="default" w:ascii="Times New Roman" w:hAnsi="Times New Roman" w:eastAsia="宋体" w:cs="Times New Roman"/>
                <w:b w:val="0"/>
                <w:bCs w:val="0"/>
                <w:color w:val="auto"/>
                <w:sz w:val="15"/>
                <w:szCs w:val="15"/>
                <w:highlight w:val="none"/>
                <w:lang w:val="en-US" w:eastAsia="zh-CN"/>
              </w:rPr>
            </w:pPr>
            <w:r>
              <w:rPr>
                <w:rFonts w:hint="eastAsia" w:ascii="Times New Roman" w:hAnsi="Times New Roman" w:cs="Times New Roman"/>
                <w:b w:val="0"/>
                <w:bCs w:val="0"/>
                <w:color w:val="auto"/>
                <w:sz w:val="15"/>
                <w:szCs w:val="15"/>
                <w:highlight w:val="none"/>
                <w:lang w:val="en-US" w:eastAsia="zh-CN"/>
              </w:rPr>
              <w:t>500</w:t>
            </w:r>
          </w:p>
        </w:tc>
        <w:tc>
          <w:tcPr>
            <w:tcW w:w="2021"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实际环保投资 (万元)</w:t>
            </w:r>
          </w:p>
        </w:tc>
        <w:tc>
          <w:tcPr>
            <w:tcW w:w="2436" w:type="dxa"/>
            <w:gridSpan w:val="2"/>
          </w:tcPr>
          <w:p>
            <w:pPr>
              <w:spacing w:line="260" w:lineRule="exact"/>
              <w:rPr>
                <w:rFonts w:hint="default" w:ascii="Times New Roman" w:hAnsi="Times New Roman" w:eastAsia="宋体" w:cs="Times New Roman"/>
                <w:b w:val="0"/>
                <w:bCs w:val="0"/>
                <w:color w:val="auto"/>
                <w:sz w:val="15"/>
                <w:szCs w:val="15"/>
                <w:highlight w:val="none"/>
                <w:lang w:val="en-US" w:eastAsia="zh-CN"/>
              </w:rPr>
            </w:pPr>
            <w:r>
              <w:rPr>
                <w:rFonts w:hint="eastAsia" w:ascii="Times New Roman" w:hAnsi="Times New Roman" w:cs="Times New Roman"/>
                <w:b w:val="0"/>
                <w:bCs w:val="0"/>
                <w:color w:val="auto"/>
                <w:sz w:val="15"/>
                <w:szCs w:val="15"/>
                <w:highlight w:val="none"/>
                <w:lang w:val="en-US" w:eastAsia="zh-CN"/>
              </w:rPr>
              <w:t>5</w:t>
            </w:r>
          </w:p>
        </w:tc>
        <w:tc>
          <w:tcPr>
            <w:tcW w:w="1724"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所占比例(%）</w:t>
            </w:r>
          </w:p>
        </w:tc>
        <w:tc>
          <w:tcPr>
            <w:tcW w:w="2766" w:type="dxa"/>
            <w:gridSpan w:val="5"/>
          </w:tcPr>
          <w:p>
            <w:pPr>
              <w:spacing w:line="260" w:lineRule="exact"/>
              <w:rPr>
                <w:rFonts w:hint="default" w:ascii="Times New Roman" w:hAnsi="Times New Roman" w:eastAsia="宋体" w:cs="Times New Roman"/>
                <w:b w:val="0"/>
                <w:bCs w:val="0"/>
                <w:color w:val="auto"/>
                <w:sz w:val="15"/>
                <w:szCs w:val="15"/>
                <w:highlight w:val="none"/>
                <w:lang w:val="en-US" w:eastAsia="zh-CN"/>
              </w:rPr>
            </w:pPr>
            <w:r>
              <w:rPr>
                <w:rFonts w:hint="eastAsia" w:ascii="Times New Roman" w:hAnsi="Times New Roman" w:cs="Times New Roman"/>
                <w:b w:val="0"/>
                <w:bCs w:val="0"/>
                <w:color w:val="auto"/>
                <w:sz w:val="15"/>
                <w:szCs w:val="15"/>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60" w:lineRule="exact"/>
              <w:rPr>
                <w:rFonts w:hint="default" w:ascii="Times New Roman" w:hAnsi="Times New Roman" w:eastAsia="宋体" w:cs="Times New Roman"/>
                <w:b w:val="0"/>
                <w:bCs w:val="0"/>
                <w:color w:val="auto"/>
                <w:sz w:val="15"/>
                <w:szCs w:val="15"/>
              </w:rPr>
            </w:pPr>
          </w:p>
        </w:tc>
        <w:tc>
          <w:tcPr>
            <w:tcW w:w="1867"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废水治理（万元）</w:t>
            </w:r>
          </w:p>
        </w:tc>
        <w:tc>
          <w:tcPr>
            <w:tcW w:w="829" w:type="dxa"/>
          </w:tcPr>
          <w:p>
            <w:pPr>
              <w:spacing w:line="260" w:lineRule="exact"/>
              <w:rPr>
                <w:rFonts w:hint="default" w:ascii="Times New Roman" w:hAnsi="Times New Roman" w:eastAsia="宋体" w:cs="Times New Roman"/>
                <w:b w:val="0"/>
                <w:bCs w:val="0"/>
                <w:color w:val="auto"/>
                <w:sz w:val="15"/>
                <w:szCs w:val="15"/>
                <w:highlight w:val="none"/>
              </w:rPr>
            </w:pPr>
          </w:p>
        </w:tc>
        <w:tc>
          <w:tcPr>
            <w:tcW w:w="1160" w:type="dxa"/>
            <w:gridSpan w:val="2"/>
            <w:vAlign w:val="center"/>
          </w:tcPr>
          <w:p>
            <w:pPr>
              <w:spacing w:line="260" w:lineRule="exact"/>
              <w:ind w:left="0" w:leftChars="0" w:right="0" w:rightChars="0" w:firstLine="0" w:firstLineChars="0"/>
              <w:jc w:val="center"/>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废气治理（万元）</w:t>
            </w:r>
          </w:p>
        </w:tc>
        <w:tc>
          <w:tcPr>
            <w:tcW w:w="904" w:type="dxa"/>
            <w:vAlign w:val="center"/>
          </w:tcPr>
          <w:p>
            <w:pPr>
              <w:spacing w:line="260" w:lineRule="exact"/>
              <w:ind w:left="0" w:leftChars="0" w:right="0" w:rightChars="0" w:firstLine="0" w:firstLineChars="0"/>
              <w:jc w:val="center"/>
              <w:rPr>
                <w:rFonts w:hint="default" w:ascii="Times New Roman" w:hAnsi="Times New Roman" w:eastAsia="宋体" w:cs="Times New Roman"/>
                <w:b w:val="0"/>
                <w:bCs w:val="0"/>
                <w:color w:val="auto"/>
                <w:sz w:val="15"/>
                <w:szCs w:val="15"/>
                <w:highlight w:val="none"/>
                <w:lang w:val="en-US" w:eastAsia="zh-CN"/>
              </w:rPr>
            </w:pPr>
          </w:p>
        </w:tc>
        <w:tc>
          <w:tcPr>
            <w:tcW w:w="1031" w:type="dxa"/>
            <w:gridSpan w:val="2"/>
            <w:vAlign w:val="center"/>
          </w:tcPr>
          <w:p>
            <w:pPr>
              <w:spacing w:line="260" w:lineRule="exact"/>
              <w:ind w:left="0" w:leftChars="0" w:right="0" w:rightChars="0" w:firstLine="0" w:firstLineChars="0"/>
              <w:jc w:val="center"/>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噪声治理(万元)</w:t>
            </w:r>
          </w:p>
        </w:tc>
        <w:tc>
          <w:tcPr>
            <w:tcW w:w="693" w:type="dxa"/>
            <w:vAlign w:val="center"/>
          </w:tcPr>
          <w:p>
            <w:pPr>
              <w:spacing w:line="260" w:lineRule="exact"/>
              <w:ind w:left="0" w:leftChars="0" w:right="0" w:rightChars="0" w:firstLine="0" w:firstLineChars="0"/>
              <w:jc w:val="center"/>
              <w:rPr>
                <w:rFonts w:hint="default" w:ascii="Times New Roman" w:hAnsi="Times New Roman" w:eastAsia="宋体" w:cs="Times New Roman"/>
                <w:b w:val="0"/>
                <w:bCs w:val="0"/>
                <w:color w:val="auto"/>
                <w:sz w:val="15"/>
                <w:szCs w:val="15"/>
                <w:highlight w:val="none"/>
                <w:lang w:val="en-US" w:eastAsia="zh-CN"/>
              </w:rPr>
            </w:pPr>
          </w:p>
        </w:tc>
        <w:tc>
          <w:tcPr>
            <w:tcW w:w="2021"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固体废物治理（万元）</w:t>
            </w:r>
          </w:p>
        </w:tc>
        <w:tc>
          <w:tcPr>
            <w:tcW w:w="2436"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724"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绿化及生态（万元 ）</w:t>
            </w:r>
          </w:p>
        </w:tc>
        <w:tc>
          <w:tcPr>
            <w:tcW w:w="950"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966"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其他（万元）</w:t>
            </w:r>
          </w:p>
        </w:tc>
        <w:tc>
          <w:tcPr>
            <w:tcW w:w="850" w:type="dxa"/>
          </w:tcPr>
          <w:p>
            <w:pPr>
              <w:spacing w:line="260" w:lineRule="exact"/>
              <w:rPr>
                <w:rFonts w:hint="default" w:ascii="Times New Roman" w:hAnsi="Times New Roman" w:eastAsia="宋体" w:cs="Times New Roman"/>
                <w:b w:val="0"/>
                <w:bCs w:val="0"/>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60" w:lineRule="exact"/>
              <w:rPr>
                <w:rFonts w:hint="default" w:ascii="Times New Roman" w:hAnsi="Times New Roman" w:eastAsia="宋体" w:cs="Times New Roman"/>
                <w:b w:val="0"/>
                <w:bCs w:val="0"/>
                <w:color w:val="auto"/>
                <w:sz w:val="15"/>
                <w:szCs w:val="15"/>
              </w:rPr>
            </w:pPr>
          </w:p>
        </w:tc>
        <w:tc>
          <w:tcPr>
            <w:tcW w:w="1867"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新增废水处理设施能力</w:t>
            </w:r>
          </w:p>
        </w:tc>
        <w:tc>
          <w:tcPr>
            <w:tcW w:w="4617" w:type="dxa"/>
            <w:gridSpan w:val="7"/>
          </w:tcPr>
          <w:p>
            <w:pPr>
              <w:spacing w:line="260" w:lineRule="exact"/>
              <w:rPr>
                <w:rFonts w:hint="default" w:ascii="Times New Roman" w:hAnsi="Times New Roman" w:eastAsia="宋体" w:cs="Times New Roman"/>
                <w:b w:val="0"/>
                <w:bCs w:val="0"/>
                <w:color w:val="auto"/>
                <w:sz w:val="15"/>
                <w:szCs w:val="15"/>
                <w:highlight w:val="none"/>
              </w:rPr>
            </w:pPr>
          </w:p>
        </w:tc>
        <w:tc>
          <w:tcPr>
            <w:tcW w:w="2021" w:type="dxa"/>
            <w:gridSpan w:val="3"/>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新增废气处理设施能力</w:t>
            </w:r>
          </w:p>
        </w:tc>
        <w:tc>
          <w:tcPr>
            <w:tcW w:w="2436"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w:t>
            </w:r>
          </w:p>
        </w:tc>
        <w:tc>
          <w:tcPr>
            <w:tcW w:w="1724"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年平均工作时间</w:t>
            </w:r>
          </w:p>
        </w:tc>
        <w:tc>
          <w:tcPr>
            <w:tcW w:w="2766" w:type="dxa"/>
            <w:gridSpan w:val="5"/>
          </w:tcPr>
          <w:p>
            <w:pPr>
              <w:spacing w:line="260" w:lineRule="exact"/>
              <w:rPr>
                <w:rFonts w:hint="default" w:ascii="Times New Roman" w:hAnsi="Times New Roman" w:eastAsia="宋体" w:cs="Times New Roman"/>
                <w:b w:val="0"/>
                <w:bCs w:val="0"/>
                <w:color w:val="auto"/>
                <w:sz w:val="15"/>
                <w:szCs w:val="15"/>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88" w:type="dxa"/>
            <w:gridSpan w:val="4"/>
          </w:tcPr>
          <w:p>
            <w:pPr>
              <w:spacing w:line="260" w:lineRule="exact"/>
              <w:jc w:val="center"/>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运营单位</w:t>
            </w:r>
          </w:p>
        </w:tc>
        <w:tc>
          <w:tcPr>
            <w:tcW w:w="3924" w:type="dxa"/>
            <w:gridSpan w:val="6"/>
          </w:tcPr>
          <w:p>
            <w:pPr>
              <w:spacing w:line="260" w:lineRule="exact"/>
              <w:rPr>
                <w:rFonts w:hint="default" w:ascii="Times New Roman" w:hAnsi="Times New Roman" w:eastAsia="宋体" w:cs="Times New Roman"/>
                <w:b w:val="0"/>
                <w:bCs w:val="0"/>
                <w:color w:val="auto"/>
                <w:sz w:val="15"/>
                <w:szCs w:val="15"/>
                <w:highlight w:val="none"/>
                <w:lang w:eastAsia="zh-CN"/>
              </w:rPr>
            </w:pPr>
            <w:r>
              <w:rPr>
                <w:rFonts w:hint="eastAsia" w:ascii="Times New Roman" w:hAnsi="Times New Roman" w:cs="Times New Roman"/>
                <w:b w:val="0"/>
                <w:bCs w:val="0"/>
                <w:sz w:val="15"/>
                <w:szCs w:val="15"/>
                <w:lang w:val="en-US" w:eastAsia="zh-CN"/>
              </w:rPr>
              <w:t>新麦菲地毯（沧州）有限公司</w:t>
            </w:r>
          </w:p>
        </w:tc>
        <w:tc>
          <w:tcPr>
            <w:tcW w:w="3267" w:type="dxa"/>
            <w:gridSpan w:val="5"/>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运营单位社会统一信用代码(或组织机构代码)</w:t>
            </w:r>
          </w:p>
        </w:tc>
        <w:tc>
          <w:tcPr>
            <w:tcW w:w="1883" w:type="dxa"/>
          </w:tcPr>
          <w:p>
            <w:pPr>
              <w:spacing w:line="260" w:lineRule="exact"/>
              <w:rPr>
                <w:rFonts w:hint="default" w:ascii="Times New Roman" w:hAnsi="Times New Roman" w:eastAsia="宋体" w:cs="Times New Roman"/>
                <w:b w:val="0"/>
                <w:bCs w:val="0"/>
                <w:color w:val="auto"/>
                <w:sz w:val="15"/>
                <w:szCs w:val="15"/>
                <w:highlight w:val="none"/>
                <w:lang w:val="en-US" w:eastAsia="zh-CN"/>
              </w:rPr>
            </w:pPr>
            <w:r>
              <w:rPr>
                <w:rFonts w:hint="default" w:ascii="Times New Roman" w:hAnsi="Times New Roman" w:eastAsia="宋体" w:cs="Times New Roman"/>
                <w:b w:val="0"/>
                <w:bCs w:val="0"/>
                <w:color w:val="auto"/>
                <w:sz w:val="15"/>
                <w:szCs w:val="15"/>
                <w:highlight w:val="none"/>
                <w:lang w:val="en-US" w:eastAsia="zh-CN"/>
              </w:rPr>
              <w:t>91130927MA0G0ECQ9K</w:t>
            </w:r>
          </w:p>
        </w:tc>
        <w:tc>
          <w:tcPr>
            <w:tcW w:w="1724"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验收时间</w:t>
            </w:r>
          </w:p>
        </w:tc>
        <w:tc>
          <w:tcPr>
            <w:tcW w:w="2766" w:type="dxa"/>
            <w:gridSpan w:val="5"/>
          </w:tcPr>
          <w:p>
            <w:pPr>
              <w:spacing w:line="260" w:lineRule="exact"/>
              <w:rPr>
                <w:rFonts w:hint="default" w:ascii="Times New Roman" w:hAnsi="Times New Roman" w:eastAsia="宋体" w:cs="Times New Roman"/>
                <w:b w:val="0"/>
                <w:bCs w:val="0"/>
                <w:color w:val="auto"/>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restart"/>
          </w:tcPr>
          <w:p>
            <w:pPr>
              <w:spacing w:line="260" w:lineRule="exact"/>
              <w:rPr>
                <w:rFonts w:hint="default" w:ascii="Times New Roman" w:hAnsi="Times New Roman" w:eastAsia="宋体" w:cs="Times New Roman"/>
                <w:b w:val="0"/>
                <w:bCs w:val="0"/>
                <w:color w:val="auto"/>
                <w:sz w:val="15"/>
                <w:szCs w:val="15"/>
                <w:highlight w:val="none"/>
              </w:rPr>
            </w:pPr>
          </w:p>
          <w:p>
            <w:pPr>
              <w:spacing w:line="260" w:lineRule="exact"/>
              <w:rPr>
                <w:rFonts w:hint="default" w:ascii="Times New Roman" w:hAnsi="Times New Roman" w:eastAsia="宋体" w:cs="Times New Roman"/>
                <w:b w:val="0"/>
                <w:bCs w:val="0"/>
                <w:color w:val="auto"/>
                <w:sz w:val="15"/>
                <w:szCs w:val="15"/>
                <w:highlight w:val="none"/>
              </w:rPr>
            </w:pPr>
          </w:p>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污染物排放达标与总量控制（工业建设项目详填）</w:t>
            </w:r>
          </w:p>
        </w:tc>
        <w:tc>
          <w:tcPr>
            <w:tcW w:w="1726" w:type="dxa"/>
            <w:gridSpan w:val="2"/>
            <w:vAlign w:val="center"/>
          </w:tcPr>
          <w:p>
            <w:pPr>
              <w:spacing w:line="260" w:lineRule="exact"/>
              <w:jc w:val="center"/>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污染物</w:t>
            </w:r>
          </w:p>
        </w:tc>
        <w:tc>
          <w:tcPr>
            <w:tcW w:w="968"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原有排放量(1)</w:t>
            </w:r>
          </w:p>
        </w:tc>
        <w:tc>
          <w:tcPr>
            <w:tcW w:w="1021" w:type="dxa"/>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本期工程实际排放浓度(2)</w:t>
            </w:r>
          </w:p>
        </w:tc>
        <w:tc>
          <w:tcPr>
            <w:tcW w:w="1021"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本期工程允许排放浓度(3)</w:t>
            </w:r>
          </w:p>
        </w:tc>
        <w:tc>
          <w:tcPr>
            <w:tcW w:w="914" w:type="dxa"/>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本期工程产生量(4)</w:t>
            </w:r>
          </w:p>
        </w:tc>
        <w:tc>
          <w:tcPr>
            <w:tcW w:w="1438"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本期工程自身削减量(5)</w:t>
            </w:r>
          </w:p>
        </w:tc>
        <w:tc>
          <w:tcPr>
            <w:tcW w:w="986" w:type="dxa"/>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本期工程实际排放量(6)</w:t>
            </w:r>
          </w:p>
        </w:tc>
        <w:tc>
          <w:tcPr>
            <w:tcW w:w="843"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本期工程核定排放总量(7)</w:t>
            </w:r>
          </w:p>
        </w:tc>
        <w:tc>
          <w:tcPr>
            <w:tcW w:w="1883" w:type="dxa"/>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本期工程“以新带老”削减量(8)</w:t>
            </w:r>
          </w:p>
        </w:tc>
        <w:tc>
          <w:tcPr>
            <w:tcW w:w="1201" w:type="dxa"/>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全厂实际排放总量(9)</w:t>
            </w:r>
          </w:p>
        </w:tc>
        <w:tc>
          <w:tcPr>
            <w:tcW w:w="993"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全厂核定排放总量(10)</w:t>
            </w:r>
          </w:p>
        </w:tc>
        <w:tc>
          <w:tcPr>
            <w:tcW w:w="1189" w:type="dxa"/>
            <w:gridSpan w:val="2"/>
          </w:tcPr>
          <w:p>
            <w:pPr>
              <w:spacing w:line="260" w:lineRule="exact"/>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区域平衡替代削减量(11)</w:t>
            </w:r>
          </w:p>
        </w:tc>
        <w:tc>
          <w:tcPr>
            <w:tcW w:w="1107" w:type="dxa"/>
            <w:gridSpan w:val="2"/>
          </w:tcPr>
          <w:p>
            <w:pPr>
              <w:spacing w:line="260" w:lineRule="exact"/>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continue"/>
          </w:tcPr>
          <w:p>
            <w:pPr>
              <w:spacing w:line="260" w:lineRule="exact"/>
              <w:rPr>
                <w:rFonts w:hint="default" w:ascii="Times New Roman" w:hAnsi="Times New Roman" w:eastAsia="宋体" w:cs="Times New Roman"/>
                <w:b w:val="0"/>
                <w:bCs w:val="0"/>
                <w:color w:val="auto"/>
                <w:sz w:val="15"/>
                <w:szCs w:val="15"/>
                <w:highlight w:val="none"/>
              </w:rPr>
            </w:pPr>
          </w:p>
        </w:tc>
        <w:tc>
          <w:tcPr>
            <w:tcW w:w="1726" w:type="dxa"/>
            <w:gridSpan w:val="2"/>
            <w:vAlign w:val="center"/>
          </w:tcPr>
          <w:p>
            <w:pPr>
              <w:adjustRightInd w:val="0"/>
              <w:snapToGrid w:val="0"/>
              <w:spacing w:line="240" w:lineRule="atLeast"/>
              <w:jc w:val="center"/>
              <w:rPr>
                <w:rFonts w:hint="default" w:ascii="Times New Roman" w:hAnsi="Times New Roman" w:eastAsia="宋体" w:cs="Times New Roman"/>
                <w:b w:val="0"/>
                <w:bCs w:val="0"/>
                <w:color w:val="auto"/>
                <w:sz w:val="15"/>
                <w:szCs w:val="15"/>
                <w:highlight w:val="none"/>
              </w:rPr>
            </w:pPr>
            <w:r>
              <w:rPr>
                <w:rFonts w:hint="default" w:ascii="Times New Roman" w:hAnsi="Times New Roman" w:eastAsia="宋体" w:cs="Times New Roman"/>
                <w:b w:val="0"/>
                <w:bCs w:val="0"/>
                <w:color w:val="auto"/>
                <w:sz w:val="15"/>
                <w:szCs w:val="15"/>
                <w:highlight w:val="none"/>
              </w:rPr>
              <w:t>排气量</w:t>
            </w:r>
          </w:p>
        </w:tc>
        <w:tc>
          <w:tcPr>
            <w:tcW w:w="968" w:type="dxa"/>
            <w:gridSpan w:val="2"/>
            <w:vAlign w:val="center"/>
          </w:tcPr>
          <w:p>
            <w:pPr>
              <w:pStyle w:val="32"/>
              <w:spacing w:line="240" w:lineRule="exact"/>
              <w:ind w:left="-107" w:leftChars="-51" w:right="-101" w:rightChars="-48" w:firstLine="0" w:firstLineChars="0"/>
              <w:jc w:val="center"/>
              <w:rPr>
                <w:rFonts w:hint="default" w:ascii="Times New Roman" w:hAnsi="Times New Roman" w:eastAsia="宋体" w:cs="Times New Roman"/>
                <w:b w:val="0"/>
                <w:bCs w:val="0"/>
                <w:color w:val="auto"/>
                <w:sz w:val="15"/>
                <w:szCs w:val="15"/>
                <w:highlight w:val="none"/>
              </w:rPr>
            </w:pPr>
          </w:p>
        </w:tc>
        <w:tc>
          <w:tcPr>
            <w:tcW w:w="1021" w:type="dxa"/>
            <w:vAlign w:val="center"/>
          </w:tcPr>
          <w:p>
            <w:pPr>
              <w:pStyle w:val="32"/>
              <w:spacing w:line="240" w:lineRule="exact"/>
              <w:ind w:left="-107" w:leftChars="-51" w:right="-101" w:rightChars="-48" w:firstLine="0" w:firstLineChars="0"/>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1021" w:type="dxa"/>
            <w:gridSpan w:val="2"/>
            <w:vAlign w:val="center"/>
          </w:tcPr>
          <w:p>
            <w:pPr>
              <w:pStyle w:val="32"/>
              <w:spacing w:line="240" w:lineRule="exact"/>
              <w:ind w:left="-107" w:leftChars="-51" w:right="-101" w:rightChars="-48" w:firstLine="0" w:firstLineChars="0"/>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914" w:type="dxa"/>
            <w:vAlign w:val="center"/>
          </w:tcPr>
          <w:p>
            <w:pPr>
              <w:spacing w:line="280" w:lineRule="atLeas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1438" w:type="dxa"/>
            <w:gridSpan w:val="2"/>
            <w:vAlign w:val="center"/>
          </w:tcPr>
          <w:p>
            <w:pPr>
              <w:spacing w:line="280" w:lineRule="atLeas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986" w:type="dxa"/>
            <w:vAlign w:val="center"/>
          </w:tcPr>
          <w:p>
            <w:pPr>
              <w:spacing w:line="280" w:lineRule="atLeast"/>
              <w:jc w:val="center"/>
              <w:rPr>
                <w:rFonts w:hint="default" w:ascii="Times New Roman" w:hAnsi="Times New Roman" w:eastAsia="宋体" w:cs="Times New Roman"/>
                <w:b w:val="0"/>
                <w:bCs w:val="0"/>
                <w:color w:val="auto"/>
                <w:kern w:val="2"/>
                <w:sz w:val="15"/>
                <w:szCs w:val="15"/>
                <w:highlight w:val="none"/>
                <w:lang w:val="en-US" w:eastAsia="zh-CN" w:bidi="ar-SA"/>
              </w:rPr>
            </w:pPr>
            <w:r>
              <w:rPr>
                <w:rFonts w:hint="default" w:ascii="Times New Roman" w:hAnsi="Times New Roman" w:eastAsia="宋体" w:cs="Times New Roman"/>
                <w:b w:val="0"/>
                <w:bCs w:val="0"/>
                <w:color w:val="auto"/>
                <w:kern w:val="2"/>
                <w:sz w:val="15"/>
                <w:szCs w:val="15"/>
                <w:highlight w:val="none"/>
                <w:lang w:val="en-US" w:eastAsia="zh-CN" w:bidi="ar-SA"/>
              </w:rPr>
              <w:t>2172.24</w:t>
            </w:r>
          </w:p>
        </w:tc>
        <w:tc>
          <w:tcPr>
            <w:tcW w:w="843"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883" w:type="dxa"/>
          </w:tcPr>
          <w:p>
            <w:pPr>
              <w:spacing w:line="260" w:lineRule="exact"/>
              <w:rPr>
                <w:rFonts w:hint="default" w:ascii="Times New Roman" w:hAnsi="Times New Roman" w:eastAsia="宋体" w:cs="Times New Roman"/>
                <w:b w:val="0"/>
                <w:bCs w:val="0"/>
                <w:color w:val="auto"/>
                <w:sz w:val="15"/>
                <w:szCs w:val="15"/>
                <w:highlight w:val="none"/>
              </w:rPr>
            </w:pPr>
          </w:p>
        </w:tc>
        <w:tc>
          <w:tcPr>
            <w:tcW w:w="1201" w:type="dxa"/>
          </w:tcPr>
          <w:p>
            <w:pPr>
              <w:spacing w:line="260" w:lineRule="exact"/>
              <w:rPr>
                <w:rFonts w:hint="default" w:ascii="Times New Roman" w:hAnsi="Times New Roman" w:eastAsia="宋体" w:cs="Times New Roman"/>
                <w:b w:val="0"/>
                <w:bCs w:val="0"/>
                <w:color w:val="auto"/>
                <w:sz w:val="15"/>
                <w:szCs w:val="15"/>
                <w:highlight w:val="none"/>
              </w:rPr>
            </w:pPr>
          </w:p>
        </w:tc>
        <w:tc>
          <w:tcPr>
            <w:tcW w:w="993"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189"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107" w:type="dxa"/>
            <w:gridSpan w:val="2"/>
          </w:tcPr>
          <w:p>
            <w:pPr>
              <w:spacing w:line="260" w:lineRule="exact"/>
              <w:rPr>
                <w:rFonts w:hint="default" w:ascii="Times New Roman" w:hAnsi="Times New Roman" w:eastAsia="宋体" w:cs="Times New Roman"/>
                <w:b w:val="0"/>
                <w:bCs w:val="0"/>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continue"/>
          </w:tcPr>
          <w:p>
            <w:pPr>
              <w:spacing w:line="260" w:lineRule="exact"/>
              <w:rPr>
                <w:rFonts w:hint="default" w:ascii="Times New Roman" w:hAnsi="Times New Roman" w:eastAsia="宋体" w:cs="Times New Roman"/>
                <w:b w:val="0"/>
                <w:bCs w:val="0"/>
                <w:color w:val="auto"/>
                <w:sz w:val="15"/>
                <w:szCs w:val="15"/>
                <w:highlight w:val="none"/>
              </w:rPr>
            </w:pPr>
          </w:p>
        </w:tc>
        <w:tc>
          <w:tcPr>
            <w:tcW w:w="1726"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5"/>
                <w:szCs w:val="15"/>
                <w:highlight w:val="none"/>
                <w:lang w:val="en-US" w:eastAsia="zh-CN" w:bidi="ar-SA"/>
              </w:rPr>
            </w:pPr>
            <w:r>
              <w:rPr>
                <w:rFonts w:hint="eastAsia" w:ascii="Times New Roman" w:hAnsi="Times New Roman" w:cs="Times New Roman"/>
                <w:color w:val="auto"/>
                <w:sz w:val="15"/>
                <w:szCs w:val="15"/>
                <w:highlight w:val="none"/>
                <w:lang w:eastAsia="zh-CN"/>
              </w:rPr>
              <w:t>二氧化硫</w:t>
            </w:r>
          </w:p>
        </w:tc>
        <w:tc>
          <w:tcPr>
            <w:tcW w:w="968" w:type="dxa"/>
            <w:gridSpan w:val="2"/>
            <w:vAlign w:val="center"/>
          </w:tcPr>
          <w:p>
            <w:pPr>
              <w:pStyle w:val="32"/>
              <w:spacing w:line="240" w:lineRule="exact"/>
              <w:ind w:left="-107" w:leftChars="-51" w:right="-101" w:rightChars="-48" w:firstLine="0" w:firstLineChars="0"/>
              <w:jc w:val="center"/>
              <w:rPr>
                <w:rFonts w:hint="default" w:ascii="Times New Roman" w:hAnsi="Times New Roman" w:eastAsia="宋体" w:cs="Times New Roman"/>
                <w:b w:val="0"/>
                <w:bCs w:val="0"/>
                <w:color w:val="auto"/>
                <w:sz w:val="15"/>
                <w:szCs w:val="15"/>
                <w:highlight w:val="none"/>
              </w:rPr>
            </w:pPr>
          </w:p>
        </w:tc>
        <w:tc>
          <w:tcPr>
            <w:tcW w:w="1021" w:type="dxa"/>
            <w:vAlign w:val="center"/>
          </w:tcPr>
          <w:p>
            <w:pPr>
              <w:spacing w:line="260" w:lineRule="exac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1021" w:type="dxa"/>
            <w:gridSpan w:val="2"/>
            <w:vAlign w:val="center"/>
          </w:tcPr>
          <w:p>
            <w:pPr>
              <w:spacing w:line="260" w:lineRule="exac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914" w:type="dxa"/>
            <w:vAlign w:val="center"/>
          </w:tcPr>
          <w:p>
            <w:pPr>
              <w:spacing w:line="260" w:lineRule="exac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1438" w:type="dxa"/>
            <w:gridSpan w:val="2"/>
            <w:vAlign w:val="center"/>
          </w:tcPr>
          <w:p>
            <w:pPr>
              <w:spacing w:line="260" w:lineRule="exac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986" w:type="dxa"/>
            <w:vAlign w:val="center"/>
          </w:tcPr>
          <w:p>
            <w:pPr>
              <w:spacing w:line="260" w:lineRule="exac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843"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883" w:type="dxa"/>
          </w:tcPr>
          <w:p>
            <w:pPr>
              <w:spacing w:line="260" w:lineRule="exact"/>
              <w:rPr>
                <w:rFonts w:hint="default" w:ascii="Times New Roman" w:hAnsi="Times New Roman" w:eastAsia="宋体" w:cs="Times New Roman"/>
                <w:b w:val="0"/>
                <w:bCs w:val="0"/>
                <w:color w:val="auto"/>
                <w:sz w:val="15"/>
                <w:szCs w:val="15"/>
                <w:highlight w:val="none"/>
              </w:rPr>
            </w:pPr>
          </w:p>
        </w:tc>
        <w:tc>
          <w:tcPr>
            <w:tcW w:w="1201" w:type="dxa"/>
          </w:tcPr>
          <w:p>
            <w:pPr>
              <w:spacing w:line="260" w:lineRule="exact"/>
              <w:rPr>
                <w:rFonts w:hint="default" w:ascii="Times New Roman" w:hAnsi="Times New Roman" w:eastAsia="宋体" w:cs="Times New Roman"/>
                <w:b w:val="0"/>
                <w:bCs w:val="0"/>
                <w:color w:val="auto"/>
                <w:sz w:val="15"/>
                <w:szCs w:val="15"/>
                <w:highlight w:val="none"/>
              </w:rPr>
            </w:pPr>
          </w:p>
        </w:tc>
        <w:tc>
          <w:tcPr>
            <w:tcW w:w="993"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189"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107" w:type="dxa"/>
            <w:gridSpan w:val="2"/>
          </w:tcPr>
          <w:p>
            <w:pPr>
              <w:spacing w:line="260" w:lineRule="exact"/>
              <w:rPr>
                <w:rFonts w:hint="default" w:ascii="Times New Roman" w:hAnsi="Times New Roman" w:eastAsia="宋体" w:cs="Times New Roman"/>
                <w:b w:val="0"/>
                <w:bCs w:val="0"/>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continue"/>
          </w:tcPr>
          <w:p>
            <w:pPr>
              <w:spacing w:line="260" w:lineRule="exact"/>
              <w:rPr>
                <w:rFonts w:hint="default" w:ascii="Times New Roman" w:hAnsi="Times New Roman" w:eastAsia="宋体" w:cs="Times New Roman"/>
                <w:b w:val="0"/>
                <w:bCs w:val="0"/>
                <w:color w:val="auto"/>
                <w:sz w:val="15"/>
                <w:szCs w:val="15"/>
                <w:highlight w:val="none"/>
              </w:rPr>
            </w:pPr>
          </w:p>
        </w:tc>
        <w:tc>
          <w:tcPr>
            <w:tcW w:w="1726"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5"/>
                <w:szCs w:val="15"/>
                <w:highlight w:val="none"/>
                <w:lang w:val="en-US" w:eastAsia="zh-CN" w:bidi="ar-SA"/>
              </w:rPr>
            </w:pPr>
            <w:r>
              <w:rPr>
                <w:rFonts w:hint="eastAsia" w:ascii="Times New Roman" w:hAnsi="Times New Roman" w:eastAsia="宋体" w:cs="Times New Roman"/>
                <w:color w:val="auto"/>
                <w:sz w:val="15"/>
                <w:szCs w:val="15"/>
                <w:highlight w:val="none"/>
                <w:lang w:eastAsia="zh-CN"/>
              </w:rPr>
              <w:t>氮氧化物</w:t>
            </w:r>
          </w:p>
        </w:tc>
        <w:tc>
          <w:tcPr>
            <w:tcW w:w="968" w:type="dxa"/>
            <w:gridSpan w:val="2"/>
            <w:vAlign w:val="center"/>
          </w:tcPr>
          <w:p>
            <w:pPr>
              <w:pStyle w:val="32"/>
              <w:spacing w:line="240" w:lineRule="exact"/>
              <w:ind w:left="-107" w:leftChars="-51" w:right="-67" w:rightChars="-32" w:firstLine="0" w:firstLineChars="0"/>
              <w:jc w:val="center"/>
              <w:rPr>
                <w:rFonts w:hint="default" w:ascii="Times New Roman" w:hAnsi="Times New Roman" w:eastAsia="宋体" w:cs="Times New Roman"/>
                <w:b w:val="0"/>
                <w:bCs w:val="0"/>
                <w:color w:val="auto"/>
                <w:sz w:val="15"/>
                <w:szCs w:val="15"/>
                <w:highlight w:val="none"/>
              </w:rPr>
            </w:pPr>
          </w:p>
        </w:tc>
        <w:tc>
          <w:tcPr>
            <w:tcW w:w="1021" w:type="dxa"/>
            <w:vAlign w:val="center"/>
          </w:tcPr>
          <w:p>
            <w:pPr>
              <w:spacing w:line="260" w:lineRule="exac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1021" w:type="dxa"/>
            <w:gridSpan w:val="2"/>
            <w:vAlign w:val="center"/>
          </w:tcPr>
          <w:p>
            <w:pPr>
              <w:spacing w:line="260" w:lineRule="exac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914" w:type="dxa"/>
            <w:vAlign w:val="center"/>
          </w:tcPr>
          <w:p>
            <w:pPr>
              <w:spacing w:line="260" w:lineRule="exac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1438" w:type="dxa"/>
            <w:gridSpan w:val="2"/>
            <w:vAlign w:val="center"/>
          </w:tcPr>
          <w:p>
            <w:pPr>
              <w:spacing w:line="260" w:lineRule="exac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986" w:type="dxa"/>
            <w:vAlign w:val="center"/>
          </w:tcPr>
          <w:p>
            <w:pPr>
              <w:spacing w:line="260" w:lineRule="exact"/>
              <w:jc w:val="center"/>
              <w:rPr>
                <w:rFonts w:hint="default" w:ascii="Times New Roman" w:hAnsi="Times New Roman" w:eastAsia="宋体" w:cs="Times New Roman"/>
                <w:b w:val="0"/>
                <w:bCs w:val="0"/>
                <w:color w:val="auto"/>
                <w:kern w:val="2"/>
                <w:sz w:val="15"/>
                <w:szCs w:val="15"/>
                <w:highlight w:val="none"/>
                <w:lang w:val="en-US" w:eastAsia="zh-CN" w:bidi="ar-SA"/>
              </w:rPr>
            </w:pPr>
          </w:p>
        </w:tc>
        <w:tc>
          <w:tcPr>
            <w:tcW w:w="843"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883" w:type="dxa"/>
          </w:tcPr>
          <w:p>
            <w:pPr>
              <w:spacing w:line="260" w:lineRule="exact"/>
              <w:rPr>
                <w:rFonts w:hint="default" w:ascii="Times New Roman" w:hAnsi="Times New Roman" w:eastAsia="宋体" w:cs="Times New Roman"/>
                <w:b w:val="0"/>
                <w:bCs w:val="0"/>
                <w:color w:val="auto"/>
                <w:sz w:val="15"/>
                <w:szCs w:val="15"/>
                <w:highlight w:val="none"/>
              </w:rPr>
            </w:pPr>
          </w:p>
        </w:tc>
        <w:tc>
          <w:tcPr>
            <w:tcW w:w="1201" w:type="dxa"/>
          </w:tcPr>
          <w:p>
            <w:pPr>
              <w:spacing w:line="260" w:lineRule="exact"/>
              <w:rPr>
                <w:rFonts w:hint="default" w:ascii="Times New Roman" w:hAnsi="Times New Roman" w:eastAsia="宋体" w:cs="Times New Roman"/>
                <w:b w:val="0"/>
                <w:bCs w:val="0"/>
                <w:color w:val="auto"/>
                <w:sz w:val="15"/>
                <w:szCs w:val="15"/>
                <w:highlight w:val="none"/>
              </w:rPr>
            </w:pPr>
          </w:p>
        </w:tc>
        <w:tc>
          <w:tcPr>
            <w:tcW w:w="993"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189"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107" w:type="dxa"/>
            <w:gridSpan w:val="2"/>
          </w:tcPr>
          <w:p>
            <w:pPr>
              <w:spacing w:line="260" w:lineRule="exact"/>
              <w:rPr>
                <w:rFonts w:hint="default" w:ascii="Times New Roman" w:hAnsi="Times New Roman" w:eastAsia="宋体" w:cs="Times New Roman"/>
                <w:b w:val="0"/>
                <w:bCs w:val="0"/>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continue"/>
          </w:tcPr>
          <w:p>
            <w:pPr>
              <w:spacing w:line="260" w:lineRule="exact"/>
              <w:rPr>
                <w:rFonts w:hint="default" w:ascii="Times New Roman" w:hAnsi="Times New Roman" w:eastAsia="宋体" w:cs="Times New Roman"/>
                <w:b w:val="0"/>
                <w:bCs w:val="0"/>
                <w:color w:val="auto"/>
                <w:sz w:val="15"/>
                <w:szCs w:val="15"/>
                <w:highlight w:val="none"/>
              </w:rPr>
            </w:pPr>
          </w:p>
        </w:tc>
        <w:tc>
          <w:tcPr>
            <w:tcW w:w="1726"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5"/>
                <w:szCs w:val="15"/>
                <w:highlight w:val="none"/>
                <w:lang w:val="en-US" w:eastAsia="zh-CN" w:bidi="ar-SA"/>
              </w:rPr>
            </w:pPr>
            <w:r>
              <w:rPr>
                <w:rFonts w:hint="eastAsia" w:ascii="Times New Roman" w:hAnsi="Times New Roman" w:cs="Times New Roman"/>
                <w:color w:val="auto"/>
                <w:sz w:val="15"/>
                <w:szCs w:val="15"/>
                <w:highlight w:val="none"/>
                <w:lang w:val="en-US" w:eastAsia="zh-CN"/>
              </w:rPr>
              <w:t>颗粒物</w:t>
            </w:r>
          </w:p>
        </w:tc>
        <w:tc>
          <w:tcPr>
            <w:tcW w:w="968" w:type="dxa"/>
            <w:gridSpan w:val="2"/>
            <w:vAlign w:val="center"/>
          </w:tcPr>
          <w:p>
            <w:pPr>
              <w:pStyle w:val="32"/>
              <w:spacing w:line="240" w:lineRule="exact"/>
              <w:ind w:left="-107" w:leftChars="-51" w:right="-67" w:rightChars="-32" w:firstLine="0" w:firstLineChars="0"/>
              <w:jc w:val="center"/>
              <w:rPr>
                <w:rFonts w:hint="default" w:ascii="Times New Roman" w:hAnsi="Times New Roman" w:eastAsia="宋体" w:cs="Times New Roman"/>
                <w:b w:val="0"/>
                <w:bCs w:val="0"/>
                <w:color w:val="auto"/>
                <w:sz w:val="15"/>
                <w:szCs w:val="15"/>
                <w:highlight w:val="none"/>
              </w:rPr>
            </w:pPr>
          </w:p>
        </w:tc>
        <w:tc>
          <w:tcPr>
            <w:tcW w:w="1021" w:type="dxa"/>
            <w:vAlign w:val="center"/>
          </w:tcPr>
          <w:p>
            <w:pPr>
              <w:spacing w:line="280" w:lineRule="atLeast"/>
              <w:jc w:val="center"/>
              <w:rPr>
                <w:rFonts w:hint="default" w:ascii="Times New Roman" w:hAnsi="Times New Roman" w:eastAsia="宋体" w:cs="Times New Roman"/>
                <w:b w:val="0"/>
                <w:bCs w:val="0"/>
                <w:color w:val="auto"/>
                <w:sz w:val="15"/>
                <w:szCs w:val="15"/>
                <w:highlight w:val="none"/>
                <w:lang w:val="en-US" w:eastAsia="zh-CN"/>
              </w:rPr>
            </w:pPr>
          </w:p>
        </w:tc>
        <w:tc>
          <w:tcPr>
            <w:tcW w:w="1021" w:type="dxa"/>
            <w:gridSpan w:val="2"/>
            <w:vAlign w:val="center"/>
          </w:tcPr>
          <w:p>
            <w:pPr>
              <w:spacing w:line="280" w:lineRule="atLeast"/>
              <w:jc w:val="center"/>
              <w:rPr>
                <w:rFonts w:hint="default" w:ascii="Times New Roman" w:hAnsi="Times New Roman" w:eastAsia="宋体" w:cs="Times New Roman"/>
                <w:b w:val="0"/>
                <w:bCs w:val="0"/>
                <w:color w:val="auto"/>
                <w:sz w:val="15"/>
                <w:szCs w:val="15"/>
                <w:highlight w:val="none"/>
                <w:lang w:val="en-US" w:eastAsia="zh-CN"/>
              </w:rPr>
            </w:pPr>
          </w:p>
        </w:tc>
        <w:tc>
          <w:tcPr>
            <w:tcW w:w="914" w:type="dxa"/>
            <w:vAlign w:val="center"/>
          </w:tcPr>
          <w:p>
            <w:pPr>
              <w:spacing w:line="280" w:lineRule="atLeast"/>
              <w:jc w:val="center"/>
              <w:rPr>
                <w:rFonts w:hint="default" w:ascii="Times New Roman" w:hAnsi="Times New Roman" w:eastAsia="宋体" w:cs="Times New Roman"/>
                <w:b w:val="0"/>
                <w:bCs w:val="0"/>
                <w:color w:val="auto"/>
                <w:sz w:val="15"/>
                <w:szCs w:val="15"/>
                <w:highlight w:val="none"/>
                <w:lang w:val="en-US" w:eastAsia="zh-CN"/>
              </w:rPr>
            </w:pPr>
          </w:p>
        </w:tc>
        <w:tc>
          <w:tcPr>
            <w:tcW w:w="1438" w:type="dxa"/>
            <w:gridSpan w:val="2"/>
            <w:vAlign w:val="center"/>
          </w:tcPr>
          <w:p>
            <w:pPr>
              <w:spacing w:line="280" w:lineRule="atLeast"/>
              <w:jc w:val="center"/>
              <w:rPr>
                <w:rFonts w:hint="default" w:ascii="Times New Roman" w:hAnsi="Times New Roman" w:eastAsia="宋体" w:cs="Times New Roman"/>
                <w:b w:val="0"/>
                <w:bCs w:val="0"/>
                <w:color w:val="auto"/>
                <w:sz w:val="15"/>
                <w:szCs w:val="15"/>
                <w:highlight w:val="none"/>
                <w:lang w:val="en-US" w:eastAsia="zh-CN"/>
              </w:rPr>
            </w:pPr>
          </w:p>
        </w:tc>
        <w:tc>
          <w:tcPr>
            <w:tcW w:w="986" w:type="dxa"/>
            <w:vAlign w:val="center"/>
          </w:tcPr>
          <w:p>
            <w:pPr>
              <w:spacing w:line="280" w:lineRule="atLeast"/>
              <w:jc w:val="center"/>
              <w:rPr>
                <w:rFonts w:hint="default" w:ascii="Times New Roman" w:hAnsi="Times New Roman" w:eastAsia="宋体" w:cs="Times New Roman"/>
                <w:b w:val="0"/>
                <w:bCs w:val="0"/>
                <w:color w:val="auto"/>
                <w:sz w:val="15"/>
                <w:szCs w:val="15"/>
                <w:highlight w:val="none"/>
                <w:lang w:val="en-US" w:eastAsia="zh-CN"/>
              </w:rPr>
            </w:pPr>
          </w:p>
        </w:tc>
        <w:tc>
          <w:tcPr>
            <w:tcW w:w="843"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883" w:type="dxa"/>
          </w:tcPr>
          <w:p>
            <w:pPr>
              <w:spacing w:line="260" w:lineRule="exact"/>
              <w:rPr>
                <w:rFonts w:hint="default" w:ascii="Times New Roman" w:hAnsi="Times New Roman" w:eastAsia="宋体" w:cs="Times New Roman"/>
                <w:b w:val="0"/>
                <w:bCs w:val="0"/>
                <w:color w:val="auto"/>
                <w:sz w:val="15"/>
                <w:szCs w:val="15"/>
                <w:highlight w:val="none"/>
              </w:rPr>
            </w:pPr>
          </w:p>
        </w:tc>
        <w:tc>
          <w:tcPr>
            <w:tcW w:w="1201" w:type="dxa"/>
          </w:tcPr>
          <w:p>
            <w:pPr>
              <w:spacing w:line="260" w:lineRule="exact"/>
              <w:rPr>
                <w:rFonts w:hint="default" w:ascii="Times New Roman" w:hAnsi="Times New Roman" w:eastAsia="宋体" w:cs="Times New Roman"/>
                <w:b w:val="0"/>
                <w:bCs w:val="0"/>
                <w:color w:val="auto"/>
                <w:sz w:val="15"/>
                <w:szCs w:val="15"/>
                <w:highlight w:val="none"/>
              </w:rPr>
            </w:pPr>
          </w:p>
        </w:tc>
        <w:tc>
          <w:tcPr>
            <w:tcW w:w="993"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189" w:type="dxa"/>
            <w:gridSpan w:val="2"/>
          </w:tcPr>
          <w:p>
            <w:pPr>
              <w:spacing w:line="260" w:lineRule="exact"/>
              <w:rPr>
                <w:rFonts w:hint="default" w:ascii="Times New Roman" w:hAnsi="Times New Roman" w:eastAsia="宋体" w:cs="Times New Roman"/>
                <w:b w:val="0"/>
                <w:bCs w:val="0"/>
                <w:color w:val="auto"/>
                <w:sz w:val="15"/>
                <w:szCs w:val="15"/>
                <w:highlight w:val="none"/>
              </w:rPr>
            </w:pPr>
          </w:p>
        </w:tc>
        <w:tc>
          <w:tcPr>
            <w:tcW w:w="1107" w:type="dxa"/>
            <w:gridSpan w:val="2"/>
          </w:tcPr>
          <w:p>
            <w:pPr>
              <w:spacing w:line="260" w:lineRule="exact"/>
              <w:rPr>
                <w:rFonts w:hint="default" w:ascii="Times New Roman" w:hAnsi="Times New Roman" w:eastAsia="宋体" w:cs="Times New Roman"/>
                <w:b w:val="0"/>
                <w:bCs w:val="0"/>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continue"/>
          </w:tcPr>
          <w:p>
            <w:pPr>
              <w:spacing w:line="260" w:lineRule="exact"/>
              <w:rPr>
                <w:rFonts w:hint="default" w:ascii="Times New Roman" w:hAnsi="Times New Roman" w:eastAsia="宋体" w:cs="Times New Roman"/>
                <w:b w:val="0"/>
                <w:bCs w:val="0"/>
                <w:color w:val="auto"/>
                <w:sz w:val="15"/>
                <w:szCs w:val="15"/>
              </w:rPr>
            </w:pPr>
          </w:p>
        </w:tc>
        <w:tc>
          <w:tcPr>
            <w:tcW w:w="1726"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5"/>
                <w:szCs w:val="15"/>
                <w:highlight w:val="none"/>
                <w:lang w:val="en-US" w:eastAsia="zh-CN" w:bidi="ar-SA"/>
              </w:rPr>
            </w:pPr>
            <w:r>
              <w:rPr>
                <w:rFonts w:hint="eastAsia" w:ascii="Times New Roman" w:hAnsi="Times New Roman" w:cs="Times New Roman"/>
                <w:color w:val="auto"/>
                <w:kern w:val="2"/>
                <w:sz w:val="15"/>
                <w:szCs w:val="15"/>
                <w:highlight w:val="none"/>
                <w:lang w:val="en-US" w:eastAsia="zh-CN" w:bidi="ar-SA"/>
              </w:rPr>
              <w:t>排水量</w:t>
            </w:r>
          </w:p>
        </w:tc>
        <w:tc>
          <w:tcPr>
            <w:tcW w:w="968" w:type="dxa"/>
            <w:gridSpan w:val="2"/>
            <w:vAlign w:val="center"/>
          </w:tcPr>
          <w:p>
            <w:pPr>
              <w:pStyle w:val="32"/>
              <w:spacing w:line="240" w:lineRule="exact"/>
              <w:ind w:left="-107" w:leftChars="-51" w:right="-67" w:rightChars="-32" w:firstLine="0" w:firstLineChars="0"/>
              <w:jc w:val="center"/>
              <w:rPr>
                <w:rFonts w:hint="default" w:ascii="Times New Roman" w:hAnsi="Times New Roman" w:eastAsia="宋体" w:cs="Times New Roman"/>
                <w:b w:val="0"/>
                <w:bCs w:val="0"/>
                <w:color w:val="auto"/>
                <w:sz w:val="15"/>
                <w:szCs w:val="15"/>
              </w:rPr>
            </w:pPr>
          </w:p>
        </w:tc>
        <w:tc>
          <w:tcPr>
            <w:tcW w:w="1021" w:type="dxa"/>
            <w:vAlign w:val="center"/>
          </w:tcPr>
          <w:p>
            <w:pPr>
              <w:spacing w:line="280" w:lineRule="atLeast"/>
              <w:jc w:val="center"/>
              <w:rPr>
                <w:rFonts w:hint="default" w:ascii="Times New Roman" w:hAnsi="Times New Roman" w:eastAsia="宋体" w:cs="Times New Roman"/>
                <w:b w:val="0"/>
                <w:bCs w:val="0"/>
                <w:color w:val="auto"/>
                <w:sz w:val="15"/>
                <w:szCs w:val="15"/>
                <w:highlight w:val="none"/>
                <w:lang w:val="en-US" w:eastAsia="zh-CN"/>
              </w:rPr>
            </w:pPr>
          </w:p>
        </w:tc>
        <w:tc>
          <w:tcPr>
            <w:tcW w:w="1021" w:type="dxa"/>
            <w:gridSpan w:val="2"/>
            <w:vAlign w:val="center"/>
          </w:tcPr>
          <w:p>
            <w:pPr>
              <w:spacing w:line="280" w:lineRule="atLeast"/>
              <w:jc w:val="center"/>
              <w:rPr>
                <w:rFonts w:hint="default" w:ascii="Times New Roman" w:hAnsi="Times New Roman" w:eastAsia="宋体" w:cs="Times New Roman"/>
                <w:b w:val="0"/>
                <w:bCs w:val="0"/>
                <w:color w:val="auto"/>
                <w:sz w:val="15"/>
                <w:szCs w:val="15"/>
                <w:highlight w:val="none"/>
                <w:lang w:val="en-US" w:eastAsia="zh-CN"/>
              </w:rPr>
            </w:pPr>
          </w:p>
        </w:tc>
        <w:tc>
          <w:tcPr>
            <w:tcW w:w="914" w:type="dxa"/>
            <w:vAlign w:val="top"/>
          </w:tcPr>
          <w:p>
            <w:pPr>
              <w:spacing w:line="280" w:lineRule="atLeast"/>
              <w:jc w:val="center"/>
              <w:rPr>
                <w:rFonts w:hint="default" w:ascii="Times New Roman" w:hAnsi="Times New Roman" w:eastAsia="宋体" w:cs="Times New Roman"/>
                <w:b w:val="0"/>
                <w:bCs w:val="0"/>
                <w:color w:val="auto"/>
                <w:sz w:val="15"/>
                <w:szCs w:val="15"/>
                <w:highlight w:val="none"/>
                <w:lang w:val="en-US" w:eastAsia="zh-CN"/>
              </w:rPr>
            </w:pPr>
          </w:p>
        </w:tc>
        <w:tc>
          <w:tcPr>
            <w:tcW w:w="1438" w:type="dxa"/>
            <w:gridSpan w:val="2"/>
            <w:vAlign w:val="top"/>
          </w:tcPr>
          <w:p>
            <w:pPr>
              <w:spacing w:line="280" w:lineRule="atLeast"/>
              <w:jc w:val="center"/>
              <w:rPr>
                <w:rFonts w:hint="default" w:ascii="Times New Roman" w:hAnsi="Times New Roman" w:eastAsia="宋体" w:cs="Times New Roman"/>
                <w:b w:val="0"/>
                <w:bCs w:val="0"/>
                <w:color w:val="auto"/>
                <w:sz w:val="15"/>
                <w:szCs w:val="15"/>
                <w:highlight w:val="none"/>
              </w:rPr>
            </w:pPr>
          </w:p>
        </w:tc>
        <w:tc>
          <w:tcPr>
            <w:tcW w:w="986" w:type="dxa"/>
            <w:vAlign w:val="top"/>
          </w:tcPr>
          <w:p>
            <w:pPr>
              <w:spacing w:line="280" w:lineRule="atLeast"/>
              <w:jc w:val="center"/>
              <w:rPr>
                <w:rFonts w:hint="default" w:ascii="Times New Roman" w:hAnsi="Times New Roman" w:eastAsia="宋体" w:cs="Times New Roman"/>
                <w:b w:val="0"/>
                <w:bCs w:val="0"/>
                <w:color w:val="auto"/>
                <w:sz w:val="15"/>
                <w:szCs w:val="15"/>
                <w:highlight w:val="none"/>
                <w:lang w:val="en-US" w:eastAsia="zh-CN"/>
              </w:rPr>
            </w:pPr>
          </w:p>
        </w:tc>
        <w:tc>
          <w:tcPr>
            <w:tcW w:w="843" w:type="dxa"/>
            <w:gridSpan w:val="2"/>
          </w:tcPr>
          <w:p>
            <w:pPr>
              <w:spacing w:line="260" w:lineRule="exact"/>
              <w:rPr>
                <w:rFonts w:hint="default" w:ascii="Times New Roman" w:hAnsi="Times New Roman" w:eastAsia="宋体" w:cs="Times New Roman"/>
                <w:b w:val="0"/>
                <w:bCs w:val="0"/>
                <w:color w:val="auto"/>
                <w:sz w:val="15"/>
                <w:szCs w:val="15"/>
              </w:rPr>
            </w:pPr>
          </w:p>
        </w:tc>
        <w:tc>
          <w:tcPr>
            <w:tcW w:w="1883" w:type="dxa"/>
          </w:tcPr>
          <w:p>
            <w:pPr>
              <w:spacing w:line="260" w:lineRule="exact"/>
              <w:rPr>
                <w:rFonts w:hint="default" w:ascii="Times New Roman" w:hAnsi="Times New Roman" w:eastAsia="宋体" w:cs="Times New Roman"/>
                <w:b w:val="0"/>
                <w:bCs w:val="0"/>
                <w:color w:val="auto"/>
                <w:sz w:val="15"/>
                <w:szCs w:val="15"/>
              </w:rPr>
            </w:pPr>
          </w:p>
        </w:tc>
        <w:tc>
          <w:tcPr>
            <w:tcW w:w="1201" w:type="dxa"/>
          </w:tcPr>
          <w:p>
            <w:pPr>
              <w:spacing w:line="260" w:lineRule="exact"/>
              <w:rPr>
                <w:rFonts w:hint="default" w:ascii="Times New Roman" w:hAnsi="Times New Roman" w:eastAsia="宋体" w:cs="Times New Roman"/>
                <w:b w:val="0"/>
                <w:bCs w:val="0"/>
                <w:color w:val="auto"/>
                <w:sz w:val="15"/>
                <w:szCs w:val="15"/>
              </w:rPr>
            </w:pPr>
          </w:p>
        </w:tc>
        <w:tc>
          <w:tcPr>
            <w:tcW w:w="993" w:type="dxa"/>
            <w:gridSpan w:val="2"/>
          </w:tcPr>
          <w:p>
            <w:pPr>
              <w:spacing w:line="260" w:lineRule="exact"/>
              <w:rPr>
                <w:rFonts w:hint="default" w:ascii="Times New Roman" w:hAnsi="Times New Roman" w:eastAsia="宋体" w:cs="Times New Roman"/>
                <w:b w:val="0"/>
                <w:bCs w:val="0"/>
                <w:color w:val="auto"/>
                <w:sz w:val="15"/>
                <w:szCs w:val="15"/>
              </w:rPr>
            </w:pPr>
          </w:p>
        </w:tc>
        <w:tc>
          <w:tcPr>
            <w:tcW w:w="1189" w:type="dxa"/>
            <w:gridSpan w:val="2"/>
          </w:tcPr>
          <w:p>
            <w:pPr>
              <w:spacing w:line="260" w:lineRule="exact"/>
              <w:rPr>
                <w:rFonts w:hint="default" w:ascii="Times New Roman" w:hAnsi="Times New Roman" w:eastAsia="宋体" w:cs="Times New Roman"/>
                <w:b w:val="0"/>
                <w:bCs w:val="0"/>
                <w:color w:val="auto"/>
                <w:sz w:val="15"/>
                <w:szCs w:val="15"/>
              </w:rPr>
            </w:pPr>
          </w:p>
        </w:tc>
        <w:tc>
          <w:tcPr>
            <w:tcW w:w="1107" w:type="dxa"/>
            <w:gridSpan w:val="2"/>
          </w:tcPr>
          <w:p>
            <w:pPr>
              <w:spacing w:line="260" w:lineRule="exact"/>
              <w:rPr>
                <w:rFonts w:hint="default" w:ascii="Times New Roman" w:hAnsi="Times New Roman" w:eastAsia="宋体" w:cs="Times New Roman"/>
                <w:b w:val="0"/>
                <w:bCs w:val="0"/>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continue"/>
          </w:tcPr>
          <w:p>
            <w:pPr>
              <w:spacing w:line="260" w:lineRule="exact"/>
              <w:rPr>
                <w:rFonts w:hint="default" w:ascii="Times New Roman" w:hAnsi="Times New Roman" w:eastAsia="宋体" w:cs="Times New Roman"/>
                <w:b w:val="0"/>
                <w:bCs w:val="0"/>
                <w:color w:val="auto"/>
                <w:sz w:val="15"/>
                <w:szCs w:val="15"/>
              </w:rPr>
            </w:pPr>
          </w:p>
        </w:tc>
        <w:tc>
          <w:tcPr>
            <w:tcW w:w="1726"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5"/>
                <w:szCs w:val="15"/>
                <w:highlight w:val="none"/>
                <w:lang w:val="en-US" w:eastAsia="zh-CN" w:bidi="ar-SA"/>
              </w:rPr>
            </w:pPr>
            <w:r>
              <w:rPr>
                <w:rFonts w:hint="default" w:ascii="Times New Roman" w:hAnsi="Times New Roman" w:cs="Times New Roman"/>
                <w:color w:val="auto"/>
                <w:sz w:val="15"/>
                <w:szCs w:val="15"/>
                <w:highlight w:val="none"/>
                <w:lang w:val="en-US" w:eastAsia="zh-CN"/>
              </w:rPr>
              <w:t>化学需氧量</w:t>
            </w:r>
          </w:p>
        </w:tc>
        <w:tc>
          <w:tcPr>
            <w:tcW w:w="968" w:type="dxa"/>
            <w:gridSpan w:val="2"/>
            <w:vAlign w:val="center"/>
          </w:tcPr>
          <w:p>
            <w:pPr>
              <w:pStyle w:val="32"/>
              <w:spacing w:line="240" w:lineRule="exact"/>
              <w:ind w:left="-107" w:leftChars="-51" w:right="-101" w:rightChars="-48" w:firstLine="0" w:firstLineChars="0"/>
              <w:jc w:val="center"/>
              <w:rPr>
                <w:rFonts w:hint="default" w:ascii="Times New Roman" w:hAnsi="Times New Roman" w:eastAsia="宋体" w:cs="Times New Roman"/>
                <w:b w:val="0"/>
                <w:bCs w:val="0"/>
                <w:color w:val="auto"/>
                <w:sz w:val="15"/>
                <w:szCs w:val="15"/>
              </w:rPr>
            </w:pPr>
          </w:p>
        </w:tc>
        <w:tc>
          <w:tcPr>
            <w:tcW w:w="1021" w:type="dxa"/>
          </w:tcPr>
          <w:p>
            <w:pPr>
              <w:spacing w:line="260" w:lineRule="exact"/>
              <w:jc w:val="center"/>
              <w:rPr>
                <w:rFonts w:hint="default" w:ascii="Times New Roman" w:hAnsi="Times New Roman" w:eastAsia="宋体" w:cs="Times New Roman"/>
                <w:b w:val="0"/>
                <w:bCs w:val="0"/>
                <w:color w:val="auto"/>
                <w:sz w:val="15"/>
                <w:szCs w:val="15"/>
              </w:rPr>
            </w:pPr>
          </w:p>
        </w:tc>
        <w:tc>
          <w:tcPr>
            <w:tcW w:w="1021" w:type="dxa"/>
            <w:gridSpan w:val="2"/>
          </w:tcPr>
          <w:p>
            <w:pPr>
              <w:spacing w:line="260" w:lineRule="exact"/>
              <w:jc w:val="center"/>
              <w:rPr>
                <w:rFonts w:hint="default" w:ascii="Times New Roman" w:hAnsi="Times New Roman" w:eastAsia="宋体" w:cs="Times New Roman"/>
                <w:b w:val="0"/>
                <w:bCs w:val="0"/>
                <w:color w:val="auto"/>
                <w:sz w:val="15"/>
                <w:szCs w:val="15"/>
              </w:rPr>
            </w:pPr>
          </w:p>
        </w:tc>
        <w:tc>
          <w:tcPr>
            <w:tcW w:w="914" w:type="dxa"/>
          </w:tcPr>
          <w:p>
            <w:pPr>
              <w:spacing w:line="260" w:lineRule="exact"/>
              <w:rPr>
                <w:rFonts w:hint="default" w:ascii="Times New Roman" w:hAnsi="Times New Roman" w:eastAsia="宋体" w:cs="Times New Roman"/>
                <w:b w:val="0"/>
                <w:bCs w:val="0"/>
                <w:color w:val="auto"/>
                <w:sz w:val="15"/>
                <w:szCs w:val="15"/>
              </w:rPr>
            </w:pPr>
          </w:p>
        </w:tc>
        <w:tc>
          <w:tcPr>
            <w:tcW w:w="1438" w:type="dxa"/>
            <w:gridSpan w:val="2"/>
          </w:tcPr>
          <w:p>
            <w:pPr>
              <w:spacing w:line="260" w:lineRule="exact"/>
              <w:rPr>
                <w:rFonts w:hint="default" w:ascii="Times New Roman" w:hAnsi="Times New Roman" w:eastAsia="宋体" w:cs="Times New Roman"/>
                <w:b w:val="0"/>
                <w:bCs w:val="0"/>
                <w:color w:val="auto"/>
                <w:sz w:val="15"/>
                <w:szCs w:val="15"/>
              </w:rPr>
            </w:pPr>
          </w:p>
        </w:tc>
        <w:tc>
          <w:tcPr>
            <w:tcW w:w="986" w:type="dxa"/>
            <w:vAlign w:val="center"/>
          </w:tcPr>
          <w:p>
            <w:pPr>
              <w:spacing w:line="260" w:lineRule="exact"/>
              <w:jc w:val="center"/>
              <w:rPr>
                <w:rFonts w:hint="default" w:ascii="Times New Roman" w:hAnsi="Times New Roman" w:eastAsia="宋体" w:cs="Times New Roman"/>
                <w:b w:val="0"/>
                <w:bCs w:val="0"/>
                <w:color w:val="auto"/>
                <w:sz w:val="15"/>
                <w:szCs w:val="15"/>
                <w:lang w:val="en-US" w:eastAsia="zh-CN"/>
              </w:rPr>
            </w:pPr>
          </w:p>
        </w:tc>
        <w:tc>
          <w:tcPr>
            <w:tcW w:w="843" w:type="dxa"/>
            <w:gridSpan w:val="2"/>
          </w:tcPr>
          <w:p>
            <w:pPr>
              <w:spacing w:line="260" w:lineRule="exact"/>
              <w:rPr>
                <w:rFonts w:hint="default" w:ascii="Times New Roman" w:hAnsi="Times New Roman" w:eastAsia="宋体" w:cs="Times New Roman"/>
                <w:b w:val="0"/>
                <w:bCs w:val="0"/>
                <w:color w:val="auto"/>
                <w:sz w:val="15"/>
                <w:szCs w:val="15"/>
              </w:rPr>
            </w:pPr>
          </w:p>
        </w:tc>
        <w:tc>
          <w:tcPr>
            <w:tcW w:w="1883" w:type="dxa"/>
          </w:tcPr>
          <w:p>
            <w:pPr>
              <w:spacing w:line="260" w:lineRule="exact"/>
              <w:rPr>
                <w:rFonts w:hint="default" w:ascii="Times New Roman" w:hAnsi="Times New Roman" w:eastAsia="宋体" w:cs="Times New Roman"/>
                <w:b w:val="0"/>
                <w:bCs w:val="0"/>
                <w:color w:val="auto"/>
                <w:sz w:val="15"/>
                <w:szCs w:val="15"/>
              </w:rPr>
            </w:pPr>
          </w:p>
        </w:tc>
        <w:tc>
          <w:tcPr>
            <w:tcW w:w="1201" w:type="dxa"/>
          </w:tcPr>
          <w:p>
            <w:pPr>
              <w:spacing w:line="260" w:lineRule="exact"/>
              <w:rPr>
                <w:rFonts w:hint="default" w:ascii="Times New Roman" w:hAnsi="Times New Roman" w:eastAsia="宋体" w:cs="Times New Roman"/>
                <w:b w:val="0"/>
                <w:bCs w:val="0"/>
                <w:color w:val="auto"/>
                <w:sz w:val="15"/>
                <w:szCs w:val="15"/>
              </w:rPr>
            </w:pPr>
          </w:p>
        </w:tc>
        <w:tc>
          <w:tcPr>
            <w:tcW w:w="993" w:type="dxa"/>
            <w:gridSpan w:val="2"/>
          </w:tcPr>
          <w:p>
            <w:pPr>
              <w:spacing w:line="260" w:lineRule="exact"/>
              <w:rPr>
                <w:rFonts w:hint="default" w:ascii="Times New Roman" w:hAnsi="Times New Roman" w:eastAsia="宋体" w:cs="Times New Roman"/>
                <w:b w:val="0"/>
                <w:bCs w:val="0"/>
                <w:color w:val="auto"/>
                <w:sz w:val="15"/>
                <w:szCs w:val="15"/>
              </w:rPr>
            </w:pPr>
          </w:p>
        </w:tc>
        <w:tc>
          <w:tcPr>
            <w:tcW w:w="1189" w:type="dxa"/>
            <w:gridSpan w:val="2"/>
          </w:tcPr>
          <w:p>
            <w:pPr>
              <w:spacing w:line="260" w:lineRule="exact"/>
              <w:rPr>
                <w:rFonts w:hint="default" w:ascii="Times New Roman" w:hAnsi="Times New Roman" w:eastAsia="宋体" w:cs="Times New Roman"/>
                <w:b w:val="0"/>
                <w:bCs w:val="0"/>
                <w:color w:val="auto"/>
                <w:sz w:val="15"/>
                <w:szCs w:val="15"/>
              </w:rPr>
            </w:pPr>
          </w:p>
        </w:tc>
        <w:tc>
          <w:tcPr>
            <w:tcW w:w="1107" w:type="dxa"/>
            <w:gridSpan w:val="2"/>
          </w:tcPr>
          <w:p>
            <w:pPr>
              <w:spacing w:line="260" w:lineRule="exact"/>
              <w:rPr>
                <w:rFonts w:hint="default" w:ascii="Times New Roman" w:hAnsi="Times New Roman" w:eastAsia="宋体" w:cs="Times New Roman"/>
                <w:b w:val="0"/>
                <w:bCs w:val="0"/>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continue"/>
          </w:tcPr>
          <w:p>
            <w:pPr>
              <w:spacing w:line="260" w:lineRule="exact"/>
              <w:rPr>
                <w:rFonts w:hint="default" w:ascii="Times New Roman" w:hAnsi="Times New Roman" w:eastAsia="宋体" w:cs="Times New Roman"/>
                <w:b w:val="0"/>
                <w:bCs w:val="0"/>
                <w:color w:val="auto"/>
                <w:sz w:val="15"/>
                <w:szCs w:val="15"/>
              </w:rPr>
            </w:pPr>
          </w:p>
        </w:tc>
        <w:tc>
          <w:tcPr>
            <w:tcW w:w="1726"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5"/>
                <w:szCs w:val="15"/>
                <w:highlight w:val="none"/>
                <w:lang w:val="en-US" w:eastAsia="zh-CN" w:bidi="ar-SA"/>
              </w:rPr>
            </w:pPr>
            <w:r>
              <w:rPr>
                <w:rFonts w:hint="default" w:ascii="Times New Roman" w:hAnsi="Times New Roman" w:cs="Times New Roman"/>
                <w:color w:val="auto"/>
                <w:sz w:val="15"/>
                <w:szCs w:val="15"/>
                <w:highlight w:val="none"/>
                <w:lang w:val="en-US" w:eastAsia="zh-CN"/>
              </w:rPr>
              <w:t>氨氮</w:t>
            </w:r>
          </w:p>
        </w:tc>
        <w:tc>
          <w:tcPr>
            <w:tcW w:w="968" w:type="dxa"/>
            <w:gridSpan w:val="2"/>
            <w:vAlign w:val="center"/>
          </w:tcPr>
          <w:p>
            <w:pPr>
              <w:pStyle w:val="32"/>
              <w:spacing w:line="240" w:lineRule="exact"/>
              <w:ind w:left="-107" w:leftChars="-51" w:right="-67" w:rightChars="-32" w:firstLine="0" w:firstLineChars="0"/>
              <w:jc w:val="center"/>
              <w:rPr>
                <w:rFonts w:hint="default" w:ascii="Times New Roman" w:hAnsi="Times New Roman" w:eastAsia="宋体" w:cs="Times New Roman"/>
                <w:b w:val="0"/>
                <w:bCs w:val="0"/>
                <w:color w:val="auto"/>
                <w:sz w:val="15"/>
                <w:szCs w:val="15"/>
              </w:rPr>
            </w:pPr>
          </w:p>
        </w:tc>
        <w:tc>
          <w:tcPr>
            <w:tcW w:w="1021" w:type="dxa"/>
          </w:tcPr>
          <w:p>
            <w:pPr>
              <w:spacing w:line="260" w:lineRule="exact"/>
              <w:rPr>
                <w:rFonts w:hint="default" w:ascii="Times New Roman" w:hAnsi="Times New Roman" w:eastAsia="宋体" w:cs="Times New Roman"/>
                <w:b w:val="0"/>
                <w:bCs w:val="0"/>
                <w:color w:val="auto"/>
                <w:sz w:val="15"/>
                <w:szCs w:val="15"/>
                <w:lang w:val="en-US" w:eastAsia="zh-CN"/>
              </w:rPr>
            </w:pPr>
          </w:p>
        </w:tc>
        <w:tc>
          <w:tcPr>
            <w:tcW w:w="1021" w:type="dxa"/>
            <w:gridSpan w:val="2"/>
          </w:tcPr>
          <w:p>
            <w:pPr>
              <w:spacing w:line="260" w:lineRule="exact"/>
              <w:rPr>
                <w:rFonts w:hint="default" w:ascii="Times New Roman" w:hAnsi="Times New Roman" w:eastAsia="宋体" w:cs="Times New Roman"/>
                <w:b w:val="0"/>
                <w:bCs w:val="0"/>
                <w:color w:val="auto"/>
                <w:sz w:val="15"/>
                <w:szCs w:val="15"/>
                <w:lang w:val="en-US" w:eastAsia="zh-CN"/>
              </w:rPr>
            </w:pPr>
          </w:p>
        </w:tc>
        <w:tc>
          <w:tcPr>
            <w:tcW w:w="914" w:type="dxa"/>
          </w:tcPr>
          <w:p>
            <w:pPr>
              <w:spacing w:line="260" w:lineRule="exact"/>
              <w:rPr>
                <w:rFonts w:hint="default" w:ascii="Times New Roman" w:hAnsi="Times New Roman" w:eastAsia="宋体" w:cs="Times New Roman"/>
                <w:b w:val="0"/>
                <w:bCs w:val="0"/>
                <w:color w:val="auto"/>
                <w:sz w:val="15"/>
                <w:szCs w:val="15"/>
              </w:rPr>
            </w:pPr>
          </w:p>
        </w:tc>
        <w:tc>
          <w:tcPr>
            <w:tcW w:w="1438" w:type="dxa"/>
            <w:gridSpan w:val="2"/>
          </w:tcPr>
          <w:p>
            <w:pPr>
              <w:spacing w:line="260" w:lineRule="exact"/>
              <w:rPr>
                <w:rFonts w:hint="default" w:ascii="Times New Roman" w:hAnsi="Times New Roman" w:eastAsia="宋体" w:cs="Times New Roman"/>
                <w:b w:val="0"/>
                <w:bCs w:val="0"/>
                <w:color w:val="auto"/>
                <w:sz w:val="15"/>
                <w:szCs w:val="15"/>
              </w:rPr>
            </w:pPr>
          </w:p>
        </w:tc>
        <w:tc>
          <w:tcPr>
            <w:tcW w:w="986" w:type="dxa"/>
          </w:tcPr>
          <w:p>
            <w:pPr>
              <w:spacing w:line="260" w:lineRule="exact"/>
              <w:rPr>
                <w:rFonts w:hint="default" w:ascii="Times New Roman" w:hAnsi="Times New Roman" w:eastAsia="宋体" w:cs="Times New Roman"/>
                <w:b w:val="0"/>
                <w:bCs w:val="0"/>
                <w:color w:val="auto"/>
                <w:sz w:val="15"/>
                <w:szCs w:val="15"/>
                <w:lang w:val="en-US" w:eastAsia="zh-CN"/>
              </w:rPr>
            </w:pPr>
          </w:p>
        </w:tc>
        <w:tc>
          <w:tcPr>
            <w:tcW w:w="843" w:type="dxa"/>
            <w:gridSpan w:val="2"/>
          </w:tcPr>
          <w:p>
            <w:pPr>
              <w:spacing w:line="260" w:lineRule="exact"/>
              <w:rPr>
                <w:rFonts w:hint="default" w:ascii="Times New Roman" w:hAnsi="Times New Roman" w:eastAsia="宋体" w:cs="Times New Roman"/>
                <w:b w:val="0"/>
                <w:bCs w:val="0"/>
                <w:color w:val="auto"/>
                <w:sz w:val="15"/>
                <w:szCs w:val="15"/>
              </w:rPr>
            </w:pPr>
          </w:p>
        </w:tc>
        <w:tc>
          <w:tcPr>
            <w:tcW w:w="1883" w:type="dxa"/>
          </w:tcPr>
          <w:p>
            <w:pPr>
              <w:spacing w:line="260" w:lineRule="exact"/>
              <w:rPr>
                <w:rFonts w:hint="default" w:ascii="Times New Roman" w:hAnsi="Times New Roman" w:eastAsia="宋体" w:cs="Times New Roman"/>
                <w:b w:val="0"/>
                <w:bCs w:val="0"/>
                <w:color w:val="auto"/>
                <w:sz w:val="15"/>
                <w:szCs w:val="15"/>
              </w:rPr>
            </w:pPr>
          </w:p>
        </w:tc>
        <w:tc>
          <w:tcPr>
            <w:tcW w:w="1201" w:type="dxa"/>
          </w:tcPr>
          <w:p>
            <w:pPr>
              <w:spacing w:line="260" w:lineRule="exact"/>
              <w:rPr>
                <w:rFonts w:hint="default" w:ascii="Times New Roman" w:hAnsi="Times New Roman" w:eastAsia="宋体" w:cs="Times New Roman"/>
                <w:b w:val="0"/>
                <w:bCs w:val="0"/>
                <w:color w:val="auto"/>
                <w:sz w:val="15"/>
                <w:szCs w:val="15"/>
              </w:rPr>
            </w:pPr>
          </w:p>
        </w:tc>
        <w:tc>
          <w:tcPr>
            <w:tcW w:w="993" w:type="dxa"/>
            <w:gridSpan w:val="2"/>
          </w:tcPr>
          <w:p>
            <w:pPr>
              <w:spacing w:line="260" w:lineRule="exact"/>
              <w:rPr>
                <w:rFonts w:hint="default" w:ascii="Times New Roman" w:hAnsi="Times New Roman" w:eastAsia="宋体" w:cs="Times New Roman"/>
                <w:b w:val="0"/>
                <w:bCs w:val="0"/>
                <w:color w:val="auto"/>
                <w:sz w:val="15"/>
                <w:szCs w:val="15"/>
              </w:rPr>
            </w:pPr>
          </w:p>
        </w:tc>
        <w:tc>
          <w:tcPr>
            <w:tcW w:w="1189" w:type="dxa"/>
            <w:gridSpan w:val="2"/>
          </w:tcPr>
          <w:p>
            <w:pPr>
              <w:spacing w:line="260" w:lineRule="exact"/>
              <w:rPr>
                <w:rFonts w:hint="default" w:ascii="Times New Roman" w:hAnsi="Times New Roman" w:eastAsia="宋体" w:cs="Times New Roman"/>
                <w:b w:val="0"/>
                <w:bCs w:val="0"/>
                <w:color w:val="auto"/>
                <w:sz w:val="15"/>
                <w:szCs w:val="15"/>
              </w:rPr>
            </w:pPr>
          </w:p>
        </w:tc>
        <w:tc>
          <w:tcPr>
            <w:tcW w:w="1107" w:type="dxa"/>
            <w:gridSpan w:val="2"/>
          </w:tcPr>
          <w:p>
            <w:pPr>
              <w:spacing w:line="260" w:lineRule="exact"/>
              <w:rPr>
                <w:rFonts w:hint="default" w:ascii="Times New Roman" w:hAnsi="Times New Roman" w:eastAsia="宋体" w:cs="Times New Roman"/>
                <w:b w:val="0"/>
                <w:bCs w:val="0"/>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continue"/>
          </w:tcPr>
          <w:p>
            <w:pPr>
              <w:spacing w:line="260" w:lineRule="exact"/>
              <w:rPr>
                <w:rFonts w:hint="default" w:ascii="Times New Roman" w:hAnsi="Times New Roman" w:eastAsia="宋体" w:cs="Times New Roman"/>
                <w:b w:val="0"/>
                <w:bCs w:val="0"/>
                <w:color w:val="auto"/>
                <w:sz w:val="15"/>
                <w:szCs w:val="15"/>
              </w:rPr>
            </w:pPr>
          </w:p>
        </w:tc>
        <w:tc>
          <w:tcPr>
            <w:tcW w:w="993" w:type="dxa"/>
            <w:vMerge w:val="restart"/>
          </w:tcPr>
          <w:p>
            <w:pPr>
              <w:spacing w:line="260" w:lineRule="exact"/>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与项目有关的其他特征污染物</w:t>
            </w:r>
          </w:p>
        </w:tc>
        <w:tc>
          <w:tcPr>
            <w:tcW w:w="733"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5"/>
                <w:szCs w:val="15"/>
                <w:highlight w:val="none"/>
                <w:lang w:val="en-US" w:eastAsia="zh-CN"/>
              </w:rPr>
            </w:pPr>
            <w:r>
              <w:rPr>
                <w:rFonts w:hint="default" w:ascii="Times New Roman" w:hAnsi="Times New Roman" w:eastAsia="宋体" w:cs="Times New Roman"/>
                <w:color w:val="auto"/>
                <w:sz w:val="15"/>
                <w:szCs w:val="15"/>
                <w:highlight w:val="none"/>
                <w:lang w:val="en-US" w:eastAsia="zh-CN"/>
              </w:rPr>
              <w:t>非甲烷总烃</w:t>
            </w:r>
          </w:p>
        </w:tc>
        <w:tc>
          <w:tcPr>
            <w:tcW w:w="968"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p>
        </w:tc>
        <w:tc>
          <w:tcPr>
            <w:tcW w:w="1021"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1.66</w:t>
            </w:r>
          </w:p>
        </w:tc>
        <w:tc>
          <w:tcPr>
            <w:tcW w:w="1021"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20</w:t>
            </w:r>
          </w:p>
        </w:tc>
        <w:tc>
          <w:tcPr>
            <w:tcW w:w="914" w:type="dxa"/>
            <w:vAlign w:val="center"/>
          </w:tcPr>
          <w:p>
            <w:pPr>
              <w:spacing w:line="260" w:lineRule="exact"/>
              <w:jc w:val="center"/>
              <w:rPr>
                <w:rFonts w:hint="default" w:ascii="Times New Roman" w:hAnsi="Times New Roman" w:eastAsia="宋体" w:cs="Times New Roman"/>
                <w:b w:val="0"/>
                <w:bCs w:val="0"/>
                <w:color w:val="auto"/>
                <w:kern w:val="2"/>
                <w:sz w:val="15"/>
                <w:szCs w:val="15"/>
                <w:lang w:val="en-US" w:eastAsia="zh-CN" w:bidi="ar-SA"/>
              </w:rPr>
            </w:pPr>
          </w:p>
        </w:tc>
        <w:tc>
          <w:tcPr>
            <w:tcW w:w="1438" w:type="dxa"/>
            <w:gridSpan w:val="2"/>
            <w:vAlign w:val="center"/>
          </w:tcPr>
          <w:p>
            <w:pPr>
              <w:spacing w:line="260" w:lineRule="exact"/>
              <w:jc w:val="center"/>
              <w:rPr>
                <w:rFonts w:hint="default" w:ascii="Times New Roman" w:hAnsi="Times New Roman" w:eastAsia="宋体" w:cs="Times New Roman"/>
                <w:b w:val="0"/>
                <w:bCs w:val="0"/>
                <w:color w:val="auto"/>
                <w:kern w:val="2"/>
                <w:sz w:val="15"/>
                <w:szCs w:val="15"/>
                <w:lang w:val="en-US" w:eastAsia="zh-CN" w:bidi="ar-SA"/>
              </w:rPr>
            </w:pPr>
          </w:p>
        </w:tc>
        <w:tc>
          <w:tcPr>
            <w:tcW w:w="986"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r>
              <w:rPr>
                <w:rFonts w:hint="default" w:ascii="Times New Roman" w:hAnsi="Times New Roman" w:eastAsia="宋体" w:cs="Times New Roman"/>
                <w:color w:val="auto"/>
                <w:sz w:val="15"/>
                <w:szCs w:val="15"/>
                <w:highlight w:val="none"/>
                <w:lang w:val="en-US" w:eastAsia="zh-CN"/>
              </w:rPr>
              <w:t>0.0342</w:t>
            </w:r>
          </w:p>
        </w:tc>
        <w:tc>
          <w:tcPr>
            <w:tcW w:w="843" w:type="dxa"/>
            <w:gridSpan w:val="2"/>
          </w:tcPr>
          <w:p>
            <w:pPr>
              <w:spacing w:line="260" w:lineRule="exact"/>
              <w:rPr>
                <w:rFonts w:hint="default" w:ascii="Times New Roman" w:hAnsi="Times New Roman" w:eastAsia="宋体" w:cs="Times New Roman"/>
                <w:b w:val="0"/>
                <w:bCs w:val="0"/>
                <w:color w:val="auto"/>
                <w:sz w:val="15"/>
                <w:szCs w:val="15"/>
              </w:rPr>
            </w:pPr>
          </w:p>
        </w:tc>
        <w:tc>
          <w:tcPr>
            <w:tcW w:w="1883" w:type="dxa"/>
          </w:tcPr>
          <w:p>
            <w:pPr>
              <w:spacing w:line="260" w:lineRule="exact"/>
              <w:rPr>
                <w:rFonts w:hint="default" w:ascii="Times New Roman" w:hAnsi="Times New Roman" w:eastAsia="宋体" w:cs="Times New Roman"/>
                <w:b w:val="0"/>
                <w:bCs w:val="0"/>
                <w:color w:val="auto"/>
                <w:sz w:val="15"/>
                <w:szCs w:val="15"/>
              </w:rPr>
            </w:pPr>
          </w:p>
        </w:tc>
        <w:tc>
          <w:tcPr>
            <w:tcW w:w="1201" w:type="dxa"/>
          </w:tcPr>
          <w:p>
            <w:pPr>
              <w:spacing w:line="260" w:lineRule="exact"/>
              <w:rPr>
                <w:rFonts w:hint="default" w:ascii="Times New Roman" w:hAnsi="Times New Roman" w:eastAsia="宋体" w:cs="Times New Roman"/>
                <w:b w:val="0"/>
                <w:bCs w:val="0"/>
                <w:color w:val="auto"/>
                <w:sz w:val="15"/>
                <w:szCs w:val="15"/>
              </w:rPr>
            </w:pPr>
          </w:p>
        </w:tc>
        <w:tc>
          <w:tcPr>
            <w:tcW w:w="993" w:type="dxa"/>
            <w:gridSpan w:val="2"/>
          </w:tcPr>
          <w:p>
            <w:pPr>
              <w:spacing w:line="260" w:lineRule="exact"/>
              <w:rPr>
                <w:rFonts w:hint="default" w:ascii="Times New Roman" w:hAnsi="Times New Roman" w:eastAsia="宋体" w:cs="Times New Roman"/>
                <w:b w:val="0"/>
                <w:bCs w:val="0"/>
                <w:color w:val="auto"/>
                <w:sz w:val="15"/>
                <w:szCs w:val="15"/>
              </w:rPr>
            </w:pPr>
          </w:p>
        </w:tc>
        <w:tc>
          <w:tcPr>
            <w:tcW w:w="1189" w:type="dxa"/>
            <w:gridSpan w:val="2"/>
          </w:tcPr>
          <w:p>
            <w:pPr>
              <w:spacing w:line="260" w:lineRule="exact"/>
              <w:rPr>
                <w:rFonts w:hint="default" w:ascii="Times New Roman" w:hAnsi="Times New Roman" w:eastAsia="宋体" w:cs="Times New Roman"/>
                <w:b w:val="0"/>
                <w:bCs w:val="0"/>
                <w:color w:val="auto"/>
                <w:sz w:val="15"/>
                <w:szCs w:val="15"/>
              </w:rPr>
            </w:pPr>
          </w:p>
        </w:tc>
        <w:tc>
          <w:tcPr>
            <w:tcW w:w="1107" w:type="dxa"/>
            <w:gridSpan w:val="2"/>
          </w:tcPr>
          <w:p>
            <w:pPr>
              <w:spacing w:line="260" w:lineRule="exact"/>
              <w:rPr>
                <w:rFonts w:hint="default" w:ascii="Times New Roman" w:hAnsi="Times New Roman" w:eastAsia="宋体" w:cs="Times New Roman"/>
                <w:b w:val="0"/>
                <w:bCs w:val="0"/>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continue"/>
          </w:tcPr>
          <w:p>
            <w:pPr>
              <w:spacing w:line="260" w:lineRule="exact"/>
              <w:rPr>
                <w:rFonts w:hint="default" w:ascii="Times New Roman" w:hAnsi="Times New Roman" w:eastAsia="宋体" w:cs="Times New Roman"/>
                <w:b w:val="0"/>
                <w:bCs w:val="0"/>
                <w:color w:val="auto"/>
                <w:sz w:val="15"/>
                <w:szCs w:val="15"/>
              </w:rPr>
            </w:pPr>
          </w:p>
        </w:tc>
        <w:tc>
          <w:tcPr>
            <w:tcW w:w="993" w:type="dxa"/>
            <w:vMerge w:val="continue"/>
          </w:tcPr>
          <w:p>
            <w:pPr>
              <w:spacing w:line="260" w:lineRule="exact"/>
              <w:rPr>
                <w:rFonts w:hint="default" w:ascii="Times New Roman" w:hAnsi="Times New Roman" w:eastAsia="宋体" w:cs="Times New Roman"/>
                <w:b w:val="0"/>
                <w:bCs w:val="0"/>
                <w:color w:val="auto"/>
                <w:sz w:val="15"/>
                <w:szCs w:val="15"/>
              </w:rPr>
            </w:pPr>
          </w:p>
        </w:tc>
        <w:tc>
          <w:tcPr>
            <w:tcW w:w="733"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氯化氢</w:t>
            </w:r>
          </w:p>
        </w:tc>
        <w:tc>
          <w:tcPr>
            <w:tcW w:w="968"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p>
        </w:tc>
        <w:tc>
          <w:tcPr>
            <w:tcW w:w="1021"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3.8</w:t>
            </w:r>
          </w:p>
        </w:tc>
        <w:tc>
          <w:tcPr>
            <w:tcW w:w="1021"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20</w:t>
            </w:r>
          </w:p>
        </w:tc>
        <w:tc>
          <w:tcPr>
            <w:tcW w:w="914" w:type="dxa"/>
          </w:tcPr>
          <w:p>
            <w:pPr>
              <w:spacing w:line="260" w:lineRule="exact"/>
              <w:rPr>
                <w:rFonts w:hint="default" w:ascii="Times New Roman" w:hAnsi="Times New Roman" w:eastAsia="宋体" w:cs="Times New Roman"/>
                <w:b w:val="0"/>
                <w:bCs w:val="0"/>
                <w:color w:val="auto"/>
                <w:sz w:val="15"/>
                <w:szCs w:val="15"/>
              </w:rPr>
            </w:pPr>
          </w:p>
        </w:tc>
        <w:tc>
          <w:tcPr>
            <w:tcW w:w="1438" w:type="dxa"/>
            <w:gridSpan w:val="2"/>
          </w:tcPr>
          <w:p>
            <w:pPr>
              <w:spacing w:line="260" w:lineRule="exact"/>
              <w:rPr>
                <w:rFonts w:hint="default" w:ascii="Times New Roman" w:hAnsi="Times New Roman" w:eastAsia="宋体" w:cs="Times New Roman"/>
                <w:b w:val="0"/>
                <w:bCs w:val="0"/>
                <w:color w:val="auto"/>
                <w:sz w:val="15"/>
                <w:szCs w:val="15"/>
              </w:rPr>
            </w:pPr>
          </w:p>
        </w:tc>
        <w:tc>
          <w:tcPr>
            <w:tcW w:w="986"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0.0792</w:t>
            </w:r>
          </w:p>
        </w:tc>
        <w:tc>
          <w:tcPr>
            <w:tcW w:w="843" w:type="dxa"/>
            <w:gridSpan w:val="2"/>
          </w:tcPr>
          <w:p>
            <w:pPr>
              <w:spacing w:line="260" w:lineRule="exact"/>
              <w:rPr>
                <w:rFonts w:hint="default" w:ascii="Times New Roman" w:hAnsi="Times New Roman" w:eastAsia="宋体" w:cs="Times New Roman"/>
                <w:b w:val="0"/>
                <w:bCs w:val="0"/>
                <w:color w:val="auto"/>
                <w:sz w:val="15"/>
                <w:szCs w:val="15"/>
              </w:rPr>
            </w:pPr>
          </w:p>
        </w:tc>
        <w:tc>
          <w:tcPr>
            <w:tcW w:w="1883" w:type="dxa"/>
          </w:tcPr>
          <w:p>
            <w:pPr>
              <w:spacing w:line="260" w:lineRule="exact"/>
              <w:rPr>
                <w:rFonts w:hint="default" w:ascii="Times New Roman" w:hAnsi="Times New Roman" w:eastAsia="宋体" w:cs="Times New Roman"/>
                <w:b w:val="0"/>
                <w:bCs w:val="0"/>
                <w:color w:val="auto"/>
                <w:sz w:val="15"/>
                <w:szCs w:val="15"/>
              </w:rPr>
            </w:pPr>
          </w:p>
        </w:tc>
        <w:tc>
          <w:tcPr>
            <w:tcW w:w="1201" w:type="dxa"/>
          </w:tcPr>
          <w:p>
            <w:pPr>
              <w:spacing w:line="260" w:lineRule="exact"/>
              <w:rPr>
                <w:rFonts w:hint="default" w:ascii="Times New Roman" w:hAnsi="Times New Roman" w:eastAsia="宋体" w:cs="Times New Roman"/>
                <w:b w:val="0"/>
                <w:bCs w:val="0"/>
                <w:color w:val="auto"/>
                <w:sz w:val="15"/>
                <w:szCs w:val="15"/>
              </w:rPr>
            </w:pPr>
          </w:p>
        </w:tc>
        <w:tc>
          <w:tcPr>
            <w:tcW w:w="993" w:type="dxa"/>
            <w:gridSpan w:val="2"/>
          </w:tcPr>
          <w:p>
            <w:pPr>
              <w:spacing w:line="260" w:lineRule="exact"/>
              <w:rPr>
                <w:rFonts w:hint="default" w:ascii="Times New Roman" w:hAnsi="Times New Roman" w:eastAsia="宋体" w:cs="Times New Roman"/>
                <w:b w:val="0"/>
                <w:bCs w:val="0"/>
                <w:color w:val="auto"/>
                <w:sz w:val="15"/>
                <w:szCs w:val="15"/>
              </w:rPr>
            </w:pPr>
          </w:p>
        </w:tc>
        <w:tc>
          <w:tcPr>
            <w:tcW w:w="1189" w:type="dxa"/>
            <w:gridSpan w:val="2"/>
          </w:tcPr>
          <w:p>
            <w:pPr>
              <w:spacing w:line="260" w:lineRule="exact"/>
              <w:rPr>
                <w:rFonts w:hint="default" w:ascii="Times New Roman" w:hAnsi="Times New Roman" w:eastAsia="宋体" w:cs="Times New Roman"/>
                <w:b w:val="0"/>
                <w:bCs w:val="0"/>
                <w:color w:val="auto"/>
                <w:sz w:val="15"/>
                <w:szCs w:val="15"/>
              </w:rPr>
            </w:pPr>
          </w:p>
        </w:tc>
        <w:tc>
          <w:tcPr>
            <w:tcW w:w="1107" w:type="dxa"/>
            <w:gridSpan w:val="2"/>
          </w:tcPr>
          <w:p>
            <w:pPr>
              <w:spacing w:line="260" w:lineRule="exact"/>
              <w:rPr>
                <w:rFonts w:hint="default" w:ascii="Times New Roman" w:hAnsi="Times New Roman" w:eastAsia="宋体" w:cs="Times New Roman"/>
                <w:b w:val="0"/>
                <w:bCs w:val="0"/>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dxa"/>
            <w:gridSpan w:val="2"/>
            <w:vMerge w:val="continue"/>
          </w:tcPr>
          <w:p>
            <w:pPr>
              <w:spacing w:line="260" w:lineRule="exact"/>
              <w:rPr>
                <w:rFonts w:hint="default" w:ascii="Times New Roman" w:hAnsi="Times New Roman" w:eastAsia="宋体" w:cs="Times New Roman"/>
                <w:b w:val="0"/>
                <w:bCs w:val="0"/>
                <w:color w:val="auto"/>
                <w:sz w:val="15"/>
                <w:szCs w:val="15"/>
              </w:rPr>
            </w:pPr>
          </w:p>
        </w:tc>
        <w:tc>
          <w:tcPr>
            <w:tcW w:w="993" w:type="dxa"/>
            <w:vMerge w:val="continue"/>
          </w:tcPr>
          <w:p>
            <w:pPr>
              <w:spacing w:line="260" w:lineRule="exact"/>
              <w:rPr>
                <w:rFonts w:hint="default" w:ascii="Times New Roman" w:hAnsi="Times New Roman" w:eastAsia="宋体" w:cs="Times New Roman"/>
                <w:b w:val="0"/>
                <w:bCs w:val="0"/>
                <w:color w:val="auto"/>
                <w:sz w:val="15"/>
                <w:szCs w:val="15"/>
              </w:rPr>
            </w:pPr>
          </w:p>
        </w:tc>
        <w:tc>
          <w:tcPr>
            <w:tcW w:w="733"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氯乙烯</w:t>
            </w:r>
          </w:p>
        </w:tc>
        <w:tc>
          <w:tcPr>
            <w:tcW w:w="968"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p>
        </w:tc>
        <w:tc>
          <w:tcPr>
            <w:tcW w:w="1021"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ND</w:t>
            </w:r>
          </w:p>
        </w:tc>
        <w:tc>
          <w:tcPr>
            <w:tcW w:w="1021" w:type="dxa"/>
            <w:gridSpan w:val="2"/>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10</w:t>
            </w:r>
          </w:p>
        </w:tc>
        <w:tc>
          <w:tcPr>
            <w:tcW w:w="914" w:type="dxa"/>
          </w:tcPr>
          <w:p>
            <w:pPr>
              <w:spacing w:line="260" w:lineRule="exact"/>
              <w:rPr>
                <w:rFonts w:hint="default" w:ascii="Times New Roman" w:hAnsi="Times New Roman" w:eastAsia="宋体" w:cs="Times New Roman"/>
                <w:b w:val="0"/>
                <w:bCs w:val="0"/>
                <w:color w:val="auto"/>
                <w:sz w:val="15"/>
                <w:szCs w:val="15"/>
              </w:rPr>
            </w:pPr>
          </w:p>
        </w:tc>
        <w:tc>
          <w:tcPr>
            <w:tcW w:w="1438" w:type="dxa"/>
            <w:gridSpan w:val="2"/>
          </w:tcPr>
          <w:p>
            <w:pPr>
              <w:spacing w:line="260" w:lineRule="exact"/>
              <w:rPr>
                <w:rFonts w:hint="default" w:ascii="Times New Roman" w:hAnsi="Times New Roman" w:eastAsia="宋体" w:cs="Times New Roman"/>
                <w:b w:val="0"/>
                <w:bCs w:val="0"/>
                <w:color w:val="auto"/>
                <w:sz w:val="15"/>
                <w:szCs w:val="15"/>
              </w:rPr>
            </w:pPr>
          </w:p>
        </w:tc>
        <w:tc>
          <w:tcPr>
            <w:tcW w:w="986"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8.64×10</w:t>
            </w:r>
            <w:r>
              <w:rPr>
                <w:rFonts w:hint="eastAsia" w:ascii="Times New Roman" w:hAnsi="Times New Roman" w:eastAsia="宋体" w:cs="Times New Roman"/>
                <w:color w:val="auto"/>
                <w:sz w:val="15"/>
                <w:szCs w:val="15"/>
                <w:highlight w:val="none"/>
                <w:vertAlign w:val="superscript"/>
                <w:lang w:val="en-US" w:eastAsia="zh-CN"/>
              </w:rPr>
              <w:t>-4</w:t>
            </w:r>
          </w:p>
        </w:tc>
        <w:tc>
          <w:tcPr>
            <w:tcW w:w="843" w:type="dxa"/>
            <w:gridSpan w:val="2"/>
          </w:tcPr>
          <w:p>
            <w:pPr>
              <w:spacing w:line="260" w:lineRule="exact"/>
              <w:rPr>
                <w:rFonts w:hint="default" w:ascii="Times New Roman" w:hAnsi="Times New Roman" w:eastAsia="宋体" w:cs="Times New Roman"/>
                <w:b w:val="0"/>
                <w:bCs w:val="0"/>
                <w:color w:val="auto"/>
                <w:sz w:val="15"/>
                <w:szCs w:val="15"/>
              </w:rPr>
            </w:pPr>
          </w:p>
        </w:tc>
        <w:tc>
          <w:tcPr>
            <w:tcW w:w="1883" w:type="dxa"/>
          </w:tcPr>
          <w:p>
            <w:pPr>
              <w:spacing w:line="260" w:lineRule="exact"/>
              <w:rPr>
                <w:rFonts w:hint="default" w:ascii="Times New Roman" w:hAnsi="Times New Roman" w:eastAsia="宋体" w:cs="Times New Roman"/>
                <w:b w:val="0"/>
                <w:bCs w:val="0"/>
                <w:color w:val="auto"/>
                <w:sz w:val="15"/>
                <w:szCs w:val="15"/>
              </w:rPr>
            </w:pPr>
          </w:p>
        </w:tc>
        <w:tc>
          <w:tcPr>
            <w:tcW w:w="1201" w:type="dxa"/>
          </w:tcPr>
          <w:p>
            <w:pPr>
              <w:spacing w:line="260" w:lineRule="exact"/>
              <w:rPr>
                <w:rFonts w:hint="default" w:ascii="Times New Roman" w:hAnsi="Times New Roman" w:eastAsia="宋体" w:cs="Times New Roman"/>
                <w:b w:val="0"/>
                <w:bCs w:val="0"/>
                <w:color w:val="auto"/>
                <w:sz w:val="15"/>
                <w:szCs w:val="15"/>
              </w:rPr>
            </w:pPr>
          </w:p>
        </w:tc>
        <w:tc>
          <w:tcPr>
            <w:tcW w:w="993" w:type="dxa"/>
            <w:gridSpan w:val="2"/>
          </w:tcPr>
          <w:p>
            <w:pPr>
              <w:spacing w:line="260" w:lineRule="exact"/>
              <w:rPr>
                <w:rFonts w:hint="default" w:ascii="Times New Roman" w:hAnsi="Times New Roman" w:eastAsia="宋体" w:cs="Times New Roman"/>
                <w:b w:val="0"/>
                <w:bCs w:val="0"/>
                <w:color w:val="auto"/>
                <w:sz w:val="15"/>
                <w:szCs w:val="15"/>
              </w:rPr>
            </w:pPr>
          </w:p>
        </w:tc>
        <w:tc>
          <w:tcPr>
            <w:tcW w:w="1189" w:type="dxa"/>
            <w:gridSpan w:val="2"/>
          </w:tcPr>
          <w:p>
            <w:pPr>
              <w:spacing w:line="260" w:lineRule="exact"/>
              <w:rPr>
                <w:rFonts w:hint="default" w:ascii="Times New Roman" w:hAnsi="Times New Roman" w:eastAsia="宋体" w:cs="Times New Roman"/>
                <w:b w:val="0"/>
                <w:bCs w:val="0"/>
                <w:color w:val="auto"/>
                <w:sz w:val="15"/>
                <w:szCs w:val="15"/>
              </w:rPr>
            </w:pPr>
          </w:p>
        </w:tc>
        <w:tc>
          <w:tcPr>
            <w:tcW w:w="1107" w:type="dxa"/>
            <w:gridSpan w:val="2"/>
          </w:tcPr>
          <w:p>
            <w:pPr>
              <w:spacing w:line="260" w:lineRule="exact"/>
              <w:rPr>
                <w:rFonts w:hint="default" w:ascii="Times New Roman" w:hAnsi="Times New Roman" w:eastAsia="宋体" w:cs="Times New Roman"/>
                <w:b w:val="0"/>
                <w:bCs w:val="0"/>
                <w:color w:val="auto"/>
                <w:sz w:val="15"/>
                <w:szCs w:val="15"/>
              </w:rPr>
            </w:pPr>
          </w:p>
        </w:tc>
      </w:tr>
    </w:tbl>
    <w:p>
      <w:pPr>
        <w:ind w:firstLine="750" w:firstLineChars="500"/>
        <w:rPr>
          <w:rFonts w:hint="default" w:ascii="Times New Roman" w:hAnsi="Times New Roman" w:eastAsia="宋体" w:cs="Times New Roman"/>
        </w:rPr>
      </w:pPr>
      <w:r>
        <w:rPr>
          <w:rFonts w:hint="default" w:ascii="Times New Roman" w:hAnsi="Times New Roman" w:eastAsia="宋体" w:cs="Times New Roman"/>
          <w:sz w:val="15"/>
        </w:rPr>
        <w:t>注：1、排放增减量：(+)表示增加，(-)表示减少。2、(12)=(6)- (8)- (11)，(9)= (4)-(5)-(8)-(11)+(1)。3、计量单位：废水排放量——万吨/年；废气排放量——万标立方米/年；工业固体废物排放量——万吨/年；水污染物排放浓度——毫克/升</w:t>
      </w:r>
    </w:p>
    <w:p>
      <w:pPr>
        <w:ind w:firstLine="750" w:firstLineChars="500"/>
        <w:rPr>
          <w:rFonts w:hint="default" w:ascii="Times New Roman" w:hAnsi="Times New Roman" w:eastAsia="宋体" w:cs="Times New Roman"/>
        </w:rPr>
      </w:pPr>
      <w:r>
        <w:rPr>
          <w:rFonts w:hint="default" w:ascii="Times New Roman" w:hAnsi="Times New Roman" w:eastAsia="宋体" w:cs="Times New Roman"/>
          <w:sz w:val="15"/>
        </w:rPr>
        <w:t>万标立方米/年；工业固体废物排放量——万吨/年；水污染物排放浓度——毫克/升</w:t>
      </w:r>
    </w:p>
    <w:sectPr>
      <w:footerReference r:id="rId13" w:type="default"/>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
    <w:altName w:val="Times New Roman"/>
    <w:panose1 w:val="00000000000000000000"/>
    <w:charset w:val="00"/>
    <w:family w:val="auto"/>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 Light">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27</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pPr>
    <w:r>
      <w:rPr>
        <w:rFonts w:hint="eastAsia" w:asciiTheme="minorEastAsia" w:hAnsiTheme="minorEastAsia" w:eastAsiaTheme="minorEastAsia" w:cstheme="minorEastAsia"/>
        <w:b w:val="0"/>
        <w:bCs w:val="0"/>
        <w:sz w:val="18"/>
        <w:szCs w:val="18"/>
        <w:lang w:eastAsia="zh-CN"/>
      </w:rPr>
      <w:t>河北宇富石油管业有限公司</w:t>
    </w:r>
    <w:r>
      <w:rPr>
        <w:rFonts w:hint="eastAsia" w:asciiTheme="minorEastAsia" w:hAnsiTheme="minorEastAsia" w:eastAsiaTheme="minorEastAsia" w:cstheme="minorEastAsia"/>
        <w:b w:val="0"/>
        <w:bCs w:val="0"/>
        <w:sz w:val="18"/>
        <w:szCs w:val="18"/>
        <w:lang w:val="en-US" w:eastAsia="zh-CN"/>
      </w:rPr>
      <w:t>年产</w:t>
    </w:r>
    <w:r>
      <w:rPr>
        <w:rFonts w:hint="default" w:ascii="Times New Roman" w:hAnsi="Times New Roman" w:cs="Times New Roman" w:eastAsiaTheme="minorEastAsia"/>
        <w:b w:val="0"/>
        <w:bCs w:val="0"/>
        <w:sz w:val="18"/>
        <w:szCs w:val="18"/>
        <w:lang w:val="en-US" w:eastAsia="zh-CN"/>
      </w:rPr>
      <w:t>800</w:t>
    </w:r>
    <w:r>
      <w:rPr>
        <w:rFonts w:hint="eastAsia" w:asciiTheme="minorEastAsia" w:hAnsiTheme="minorEastAsia" w:eastAsiaTheme="minorEastAsia" w:cstheme="minorEastAsia"/>
        <w:b w:val="0"/>
        <w:bCs w:val="0"/>
        <w:sz w:val="18"/>
        <w:szCs w:val="18"/>
        <w:lang w:val="en-US" w:eastAsia="zh-CN"/>
      </w:rPr>
      <w:t>万标米增强钢丝塑料管生产项目</w:t>
    </w:r>
    <w:r>
      <w:rPr>
        <w:rFonts w:hint="eastAsia" w:asciiTheme="minorEastAsia" w:hAnsiTheme="minorEastAsia" w:eastAsiaTheme="minorEastAsia" w:cstheme="minorEastAsia"/>
        <w:b w:val="0"/>
        <w:bCs w:val="0"/>
        <w:sz w:val="18"/>
        <w:szCs w:val="18"/>
      </w:rPr>
      <w:t>竣工环境保护验收报告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default" w:ascii="Times New Roman" w:hAnsi="Times New Roman" w:cs="Times New Roman"/>
      </w:rPr>
    </w:pPr>
    <w:r>
      <w:rPr>
        <w:rFonts w:hint="default" w:ascii="Times New Roman" w:hAnsi="Times New Roman" w:cs="Times New Roman" w:eastAsiaTheme="minorEastAsia"/>
        <w:b w:val="0"/>
        <w:bCs w:val="0"/>
        <w:sz w:val="18"/>
        <w:szCs w:val="18"/>
        <w:lang w:val="en-US" w:eastAsia="zh-CN"/>
      </w:rPr>
      <w:t xml:space="preserve"> </w:t>
    </w:r>
    <w:r>
      <w:rPr>
        <w:rFonts w:hint="eastAsia" w:ascii="Times New Roman" w:hAnsi="Times New Roman" w:cs="Times New Roman" w:eastAsiaTheme="minorEastAsia"/>
        <w:b w:val="0"/>
        <w:bCs w:val="0"/>
        <w:sz w:val="18"/>
        <w:szCs w:val="18"/>
        <w:lang w:eastAsia="zh-CN"/>
      </w:rPr>
      <w:t>新麦菲地毯（沧州）有限公司</w:t>
    </w:r>
    <w:r>
      <w:rPr>
        <w:rFonts w:hint="eastAsia" w:ascii="Times New Roman" w:hAnsi="Times New Roman" w:cs="Times New Roman" w:eastAsiaTheme="minorEastAsia"/>
        <w:b w:val="0"/>
        <w:bCs w:val="0"/>
        <w:sz w:val="18"/>
        <w:szCs w:val="18"/>
        <w:lang w:val="en-US" w:eastAsia="zh-CN"/>
      </w:rPr>
      <w:t>年产300万平方米地毯项目</w:t>
    </w:r>
    <w:r>
      <w:rPr>
        <w:rFonts w:hint="default" w:ascii="Times New Roman" w:hAnsi="Times New Roman" w:cs="Times New Roman" w:eastAsiaTheme="minorEastAsia"/>
        <w:b w:val="0"/>
        <w:bCs w:val="0"/>
        <w:sz w:val="18"/>
        <w:szCs w:val="18"/>
      </w:rPr>
      <w:t>竣工环境保护验收报告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default" w:ascii="Times New Roman" w:hAnsi="Times New Roman" w:cs="Times New Roman"/>
      </w:rPr>
    </w:pPr>
    <w:r>
      <w:rPr>
        <w:rFonts w:hint="default" w:ascii="Times New Roman" w:hAnsi="Times New Roman" w:cs="Times New Roman" w:eastAsiaTheme="minorEastAsia"/>
        <w:b w:val="0"/>
        <w:bCs w:val="0"/>
        <w:sz w:val="18"/>
        <w:szCs w:val="18"/>
        <w:lang w:val="en-US" w:eastAsia="zh-CN"/>
      </w:rPr>
      <w:t xml:space="preserve"> </w:t>
    </w:r>
    <w:r>
      <w:rPr>
        <w:rFonts w:hint="eastAsia" w:ascii="Times New Roman" w:hAnsi="Times New Roman" w:cs="Times New Roman" w:eastAsiaTheme="minorEastAsia"/>
        <w:b w:val="0"/>
        <w:bCs w:val="0"/>
        <w:sz w:val="18"/>
        <w:szCs w:val="18"/>
        <w:lang w:eastAsia="zh-CN"/>
      </w:rPr>
      <w:t>新麦菲地毯（沧州）有限公司</w:t>
    </w:r>
    <w:r>
      <w:rPr>
        <w:rFonts w:hint="eastAsia" w:ascii="Times New Roman" w:hAnsi="Times New Roman" w:cs="Times New Roman" w:eastAsiaTheme="minorEastAsia"/>
        <w:b w:val="0"/>
        <w:bCs w:val="0"/>
        <w:sz w:val="18"/>
        <w:szCs w:val="18"/>
        <w:lang w:val="en-US" w:eastAsia="zh-CN"/>
      </w:rPr>
      <w:t>年产300万平方米地毯项目</w:t>
    </w:r>
    <w:r>
      <w:rPr>
        <w:rFonts w:hint="default" w:ascii="Times New Roman" w:hAnsi="Times New Roman" w:cs="Times New Roman" w:eastAsiaTheme="minorEastAsia"/>
        <w:b w:val="0"/>
        <w:bCs w:val="0"/>
        <w:sz w:val="18"/>
        <w:szCs w:val="18"/>
      </w:rPr>
      <w:t>竣工环境保护验收报告</w:t>
    </w:r>
  </w:p>
  <w:p>
    <w:pPr>
      <w:pStyle w:val="15"/>
      <w:ind w:left="0" w:leftChars="0" w:right="0" w:rightChars="0" w:firstLine="0" w:firstLineChars="0"/>
      <w:jc w:val="center"/>
      <w:rPr>
        <w:rFonts w:hint="default" w:eastAsiaTheme="minorEastAsia"/>
        <w:u w:val="single"/>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5747FB"/>
    <w:multiLevelType w:val="singleLevel"/>
    <w:tmpl w:val="FE5747FB"/>
    <w:lvl w:ilvl="0" w:tentative="0">
      <w:start w:val="1"/>
      <w:numFmt w:val="decimal"/>
      <w:lvlText w:val="%1."/>
      <w:lvlJc w:val="left"/>
      <w:pPr>
        <w:tabs>
          <w:tab w:val="left" w:pos="312"/>
        </w:tabs>
      </w:pPr>
    </w:lvl>
  </w:abstractNum>
  <w:abstractNum w:abstractNumId="1">
    <w:nsid w:val="5A5B08E9"/>
    <w:multiLevelType w:val="singleLevel"/>
    <w:tmpl w:val="5A5B08E9"/>
    <w:lvl w:ilvl="0" w:tentative="0">
      <w:start w:val="3"/>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lOWFkMmE0ZmU1ZWE5MTZjOWFjYWEwODg1ZDJmNGIifQ=="/>
  </w:docVars>
  <w:rsids>
    <w:rsidRoot w:val="00172A27"/>
    <w:rsid w:val="000B0F86"/>
    <w:rsid w:val="000B23BC"/>
    <w:rsid w:val="005D039F"/>
    <w:rsid w:val="00A37DC5"/>
    <w:rsid w:val="00C6591A"/>
    <w:rsid w:val="00CF3C71"/>
    <w:rsid w:val="00DC482B"/>
    <w:rsid w:val="00EC76E7"/>
    <w:rsid w:val="010C3693"/>
    <w:rsid w:val="011907BE"/>
    <w:rsid w:val="012E1AEE"/>
    <w:rsid w:val="015604DD"/>
    <w:rsid w:val="01715A84"/>
    <w:rsid w:val="018822EA"/>
    <w:rsid w:val="019A1B74"/>
    <w:rsid w:val="01DA3E51"/>
    <w:rsid w:val="01DA50C3"/>
    <w:rsid w:val="01E479C3"/>
    <w:rsid w:val="02480B97"/>
    <w:rsid w:val="02533B28"/>
    <w:rsid w:val="02CC4772"/>
    <w:rsid w:val="02CE4148"/>
    <w:rsid w:val="02DF5B08"/>
    <w:rsid w:val="02EF30BE"/>
    <w:rsid w:val="02F406E9"/>
    <w:rsid w:val="030B4458"/>
    <w:rsid w:val="03634792"/>
    <w:rsid w:val="03875C5A"/>
    <w:rsid w:val="03CE3571"/>
    <w:rsid w:val="03D12983"/>
    <w:rsid w:val="042E0728"/>
    <w:rsid w:val="04634C98"/>
    <w:rsid w:val="04A85E5B"/>
    <w:rsid w:val="04B52C5F"/>
    <w:rsid w:val="04DD131A"/>
    <w:rsid w:val="04E319B2"/>
    <w:rsid w:val="04EA2C3D"/>
    <w:rsid w:val="04F624CA"/>
    <w:rsid w:val="04FA4064"/>
    <w:rsid w:val="05597D2D"/>
    <w:rsid w:val="05B07D7F"/>
    <w:rsid w:val="05B32EFD"/>
    <w:rsid w:val="05C655A6"/>
    <w:rsid w:val="060840A4"/>
    <w:rsid w:val="064C7FCF"/>
    <w:rsid w:val="067A5314"/>
    <w:rsid w:val="06A239D6"/>
    <w:rsid w:val="06E77E40"/>
    <w:rsid w:val="06FA5738"/>
    <w:rsid w:val="0708050B"/>
    <w:rsid w:val="07116D23"/>
    <w:rsid w:val="07252146"/>
    <w:rsid w:val="074864ED"/>
    <w:rsid w:val="074E3D07"/>
    <w:rsid w:val="077455A0"/>
    <w:rsid w:val="07903173"/>
    <w:rsid w:val="07970EE9"/>
    <w:rsid w:val="079E1FA1"/>
    <w:rsid w:val="07A36D9B"/>
    <w:rsid w:val="07C1255B"/>
    <w:rsid w:val="07D55997"/>
    <w:rsid w:val="07E4679E"/>
    <w:rsid w:val="086125F8"/>
    <w:rsid w:val="089457A7"/>
    <w:rsid w:val="089A46DB"/>
    <w:rsid w:val="08CA73A2"/>
    <w:rsid w:val="08D109E9"/>
    <w:rsid w:val="08F04449"/>
    <w:rsid w:val="08F40631"/>
    <w:rsid w:val="09150844"/>
    <w:rsid w:val="09240536"/>
    <w:rsid w:val="097E0293"/>
    <w:rsid w:val="09867EC2"/>
    <w:rsid w:val="09903817"/>
    <w:rsid w:val="09983CFE"/>
    <w:rsid w:val="09CD287C"/>
    <w:rsid w:val="09CE73F2"/>
    <w:rsid w:val="09D21B78"/>
    <w:rsid w:val="09E65C3E"/>
    <w:rsid w:val="09F03240"/>
    <w:rsid w:val="0A697738"/>
    <w:rsid w:val="0AE0375C"/>
    <w:rsid w:val="0AFD7167"/>
    <w:rsid w:val="0B4F2DDA"/>
    <w:rsid w:val="0B600342"/>
    <w:rsid w:val="0B6363A9"/>
    <w:rsid w:val="0B85291E"/>
    <w:rsid w:val="0B982FB4"/>
    <w:rsid w:val="0BAC6F41"/>
    <w:rsid w:val="0BDE117C"/>
    <w:rsid w:val="0BE71BA5"/>
    <w:rsid w:val="0C512F06"/>
    <w:rsid w:val="0C5D75EA"/>
    <w:rsid w:val="0CBB357A"/>
    <w:rsid w:val="0CEC613E"/>
    <w:rsid w:val="0D21630A"/>
    <w:rsid w:val="0D4673D8"/>
    <w:rsid w:val="0D5C571D"/>
    <w:rsid w:val="0D7A5758"/>
    <w:rsid w:val="0E1C51C4"/>
    <w:rsid w:val="0E30425F"/>
    <w:rsid w:val="0E4803ED"/>
    <w:rsid w:val="0EA12B9C"/>
    <w:rsid w:val="0EBB52F0"/>
    <w:rsid w:val="0EDC148D"/>
    <w:rsid w:val="0F053649"/>
    <w:rsid w:val="0F143ECE"/>
    <w:rsid w:val="0F272918"/>
    <w:rsid w:val="0F2B2A5C"/>
    <w:rsid w:val="0F7E3710"/>
    <w:rsid w:val="0F831450"/>
    <w:rsid w:val="0FA24E3C"/>
    <w:rsid w:val="0FE61B36"/>
    <w:rsid w:val="0FE900BB"/>
    <w:rsid w:val="1013738E"/>
    <w:rsid w:val="109B7713"/>
    <w:rsid w:val="10D85498"/>
    <w:rsid w:val="110426FB"/>
    <w:rsid w:val="11063712"/>
    <w:rsid w:val="111426B3"/>
    <w:rsid w:val="112D270E"/>
    <w:rsid w:val="11506FB2"/>
    <w:rsid w:val="116975A2"/>
    <w:rsid w:val="116A1035"/>
    <w:rsid w:val="123D414C"/>
    <w:rsid w:val="12452BBE"/>
    <w:rsid w:val="12630E7F"/>
    <w:rsid w:val="1296445E"/>
    <w:rsid w:val="130577F1"/>
    <w:rsid w:val="132259C3"/>
    <w:rsid w:val="134664DB"/>
    <w:rsid w:val="135021C2"/>
    <w:rsid w:val="136C69E8"/>
    <w:rsid w:val="139909CD"/>
    <w:rsid w:val="139F445C"/>
    <w:rsid w:val="13E032E3"/>
    <w:rsid w:val="143A4C1A"/>
    <w:rsid w:val="145B592F"/>
    <w:rsid w:val="1484198C"/>
    <w:rsid w:val="148F45B6"/>
    <w:rsid w:val="14A45CCB"/>
    <w:rsid w:val="14CE2B18"/>
    <w:rsid w:val="150C21FF"/>
    <w:rsid w:val="151C34E8"/>
    <w:rsid w:val="15366402"/>
    <w:rsid w:val="1649623B"/>
    <w:rsid w:val="16644A06"/>
    <w:rsid w:val="16733675"/>
    <w:rsid w:val="16D07C2A"/>
    <w:rsid w:val="16FD1A31"/>
    <w:rsid w:val="171B5911"/>
    <w:rsid w:val="175F3F40"/>
    <w:rsid w:val="17784D1A"/>
    <w:rsid w:val="178105E0"/>
    <w:rsid w:val="17A739C6"/>
    <w:rsid w:val="17B152E2"/>
    <w:rsid w:val="17C25D9D"/>
    <w:rsid w:val="17E8438C"/>
    <w:rsid w:val="17F13FCF"/>
    <w:rsid w:val="18291570"/>
    <w:rsid w:val="187A4716"/>
    <w:rsid w:val="190C4832"/>
    <w:rsid w:val="191205C7"/>
    <w:rsid w:val="193A461B"/>
    <w:rsid w:val="197A03A3"/>
    <w:rsid w:val="197A55F9"/>
    <w:rsid w:val="19961364"/>
    <w:rsid w:val="19974F0E"/>
    <w:rsid w:val="19BF1760"/>
    <w:rsid w:val="19C1355B"/>
    <w:rsid w:val="19F340F0"/>
    <w:rsid w:val="1A04739D"/>
    <w:rsid w:val="1A274B95"/>
    <w:rsid w:val="1A4C4372"/>
    <w:rsid w:val="1A593FED"/>
    <w:rsid w:val="1A744A7D"/>
    <w:rsid w:val="1A7E60A3"/>
    <w:rsid w:val="1A800C3D"/>
    <w:rsid w:val="1ABB1C1A"/>
    <w:rsid w:val="1B484ACD"/>
    <w:rsid w:val="1B487ACC"/>
    <w:rsid w:val="1B492B2D"/>
    <w:rsid w:val="1B6F6ED1"/>
    <w:rsid w:val="1B786A26"/>
    <w:rsid w:val="1BB914C5"/>
    <w:rsid w:val="1BBA1D7F"/>
    <w:rsid w:val="1BE25C76"/>
    <w:rsid w:val="1BF40A68"/>
    <w:rsid w:val="1C1F562D"/>
    <w:rsid w:val="1C2101A6"/>
    <w:rsid w:val="1C5C0CBF"/>
    <w:rsid w:val="1C6B70E4"/>
    <w:rsid w:val="1C6E0679"/>
    <w:rsid w:val="1C762192"/>
    <w:rsid w:val="1CB07BDC"/>
    <w:rsid w:val="1CC664AE"/>
    <w:rsid w:val="1CD41937"/>
    <w:rsid w:val="1CEF132C"/>
    <w:rsid w:val="1CFD4F4A"/>
    <w:rsid w:val="1D146AB0"/>
    <w:rsid w:val="1D1D600C"/>
    <w:rsid w:val="1D457829"/>
    <w:rsid w:val="1D4A168D"/>
    <w:rsid w:val="1D577F1C"/>
    <w:rsid w:val="1D89459B"/>
    <w:rsid w:val="1D8C251A"/>
    <w:rsid w:val="1DD87FC0"/>
    <w:rsid w:val="1DE3201F"/>
    <w:rsid w:val="1DE96C88"/>
    <w:rsid w:val="1DE97DB3"/>
    <w:rsid w:val="1DF6340B"/>
    <w:rsid w:val="1E024E3D"/>
    <w:rsid w:val="1E0C3D0C"/>
    <w:rsid w:val="1E0E13C8"/>
    <w:rsid w:val="1E414A86"/>
    <w:rsid w:val="1E4F345D"/>
    <w:rsid w:val="1E570721"/>
    <w:rsid w:val="1E595D19"/>
    <w:rsid w:val="1E5E763C"/>
    <w:rsid w:val="1ECB7C20"/>
    <w:rsid w:val="1EFE2753"/>
    <w:rsid w:val="1F11740E"/>
    <w:rsid w:val="1F2529AA"/>
    <w:rsid w:val="1F300B41"/>
    <w:rsid w:val="1F581ECD"/>
    <w:rsid w:val="1F6B052F"/>
    <w:rsid w:val="1FAF03C4"/>
    <w:rsid w:val="1FDC79D3"/>
    <w:rsid w:val="1FFE6C51"/>
    <w:rsid w:val="200529A9"/>
    <w:rsid w:val="20323505"/>
    <w:rsid w:val="204722FE"/>
    <w:rsid w:val="204A1C7A"/>
    <w:rsid w:val="207C1DCE"/>
    <w:rsid w:val="20BB27A1"/>
    <w:rsid w:val="20FC3BD3"/>
    <w:rsid w:val="20FD49C4"/>
    <w:rsid w:val="212B0BB6"/>
    <w:rsid w:val="212E5212"/>
    <w:rsid w:val="215F4E1D"/>
    <w:rsid w:val="21A86FAA"/>
    <w:rsid w:val="21EC14C9"/>
    <w:rsid w:val="21EC37D4"/>
    <w:rsid w:val="22240294"/>
    <w:rsid w:val="227F3C6E"/>
    <w:rsid w:val="2289088B"/>
    <w:rsid w:val="22C47BED"/>
    <w:rsid w:val="22C72464"/>
    <w:rsid w:val="22DA76A9"/>
    <w:rsid w:val="22E826B5"/>
    <w:rsid w:val="232B0E92"/>
    <w:rsid w:val="23605E8E"/>
    <w:rsid w:val="23883EEC"/>
    <w:rsid w:val="238B6EE5"/>
    <w:rsid w:val="23F43627"/>
    <w:rsid w:val="23F5771D"/>
    <w:rsid w:val="241B1CBE"/>
    <w:rsid w:val="24345501"/>
    <w:rsid w:val="245B62C3"/>
    <w:rsid w:val="245F2FDE"/>
    <w:rsid w:val="247725FB"/>
    <w:rsid w:val="24B0718C"/>
    <w:rsid w:val="24C563CD"/>
    <w:rsid w:val="24F85EBD"/>
    <w:rsid w:val="2536069B"/>
    <w:rsid w:val="2542404B"/>
    <w:rsid w:val="25657B2E"/>
    <w:rsid w:val="258D1B1A"/>
    <w:rsid w:val="25993355"/>
    <w:rsid w:val="25CA4CC2"/>
    <w:rsid w:val="25E746BF"/>
    <w:rsid w:val="263C39CB"/>
    <w:rsid w:val="266168FA"/>
    <w:rsid w:val="26973125"/>
    <w:rsid w:val="26F47D3A"/>
    <w:rsid w:val="26F548D2"/>
    <w:rsid w:val="273A2258"/>
    <w:rsid w:val="27585D08"/>
    <w:rsid w:val="277B0A71"/>
    <w:rsid w:val="2781114D"/>
    <w:rsid w:val="28335AC8"/>
    <w:rsid w:val="285D3EB0"/>
    <w:rsid w:val="286D3F7B"/>
    <w:rsid w:val="28821F1B"/>
    <w:rsid w:val="28962566"/>
    <w:rsid w:val="28B46D8D"/>
    <w:rsid w:val="28B65688"/>
    <w:rsid w:val="28BC7A5B"/>
    <w:rsid w:val="28E055C3"/>
    <w:rsid w:val="28E27882"/>
    <w:rsid w:val="291A3F79"/>
    <w:rsid w:val="292C11F5"/>
    <w:rsid w:val="29CC3AA8"/>
    <w:rsid w:val="29EF18AB"/>
    <w:rsid w:val="2A4B034A"/>
    <w:rsid w:val="2A6E738E"/>
    <w:rsid w:val="2A720E25"/>
    <w:rsid w:val="2A781C2E"/>
    <w:rsid w:val="2A7F01EB"/>
    <w:rsid w:val="2A854100"/>
    <w:rsid w:val="2ABD50A7"/>
    <w:rsid w:val="2AED56F1"/>
    <w:rsid w:val="2B361609"/>
    <w:rsid w:val="2B455B15"/>
    <w:rsid w:val="2B9A5A21"/>
    <w:rsid w:val="2BFD0EEC"/>
    <w:rsid w:val="2C1C6839"/>
    <w:rsid w:val="2C385B2A"/>
    <w:rsid w:val="2C3D7C83"/>
    <w:rsid w:val="2C590CA9"/>
    <w:rsid w:val="2C625813"/>
    <w:rsid w:val="2C662CE2"/>
    <w:rsid w:val="2C727D21"/>
    <w:rsid w:val="2C914E3F"/>
    <w:rsid w:val="2CCC183A"/>
    <w:rsid w:val="2CDA6F00"/>
    <w:rsid w:val="2CE73E1C"/>
    <w:rsid w:val="2D065C1B"/>
    <w:rsid w:val="2D560CBD"/>
    <w:rsid w:val="2D565DDA"/>
    <w:rsid w:val="2D990036"/>
    <w:rsid w:val="2DB041A7"/>
    <w:rsid w:val="2DD65CFA"/>
    <w:rsid w:val="2DEB55D6"/>
    <w:rsid w:val="2E082A95"/>
    <w:rsid w:val="2E63178A"/>
    <w:rsid w:val="2E6C4042"/>
    <w:rsid w:val="2E764126"/>
    <w:rsid w:val="2E843755"/>
    <w:rsid w:val="2E9F77A7"/>
    <w:rsid w:val="2EA5477E"/>
    <w:rsid w:val="2EB248A2"/>
    <w:rsid w:val="2EC7619D"/>
    <w:rsid w:val="2ED17E7E"/>
    <w:rsid w:val="2EF23990"/>
    <w:rsid w:val="2EF5473D"/>
    <w:rsid w:val="2F1A0953"/>
    <w:rsid w:val="2F2473F1"/>
    <w:rsid w:val="2F3A716E"/>
    <w:rsid w:val="2F415851"/>
    <w:rsid w:val="2F464AAB"/>
    <w:rsid w:val="2F5430F8"/>
    <w:rsid w:val="2F6866FB"/>
    <w:rsid w:val="2F9B34E4"/>
    <w:rsid w:val="2FB144F2"/>
    <w:rsid w:val="2FB6643D"/>
    <w:rsid w:val="2FD14B32"/>
    <w:rsid w:val="2FFC6767"/>
    <w:rsid w:val="306D6646"/>
    <w:rsid w:val="307C1123"/>
    <w:rsid w:val="30AB7CA3"/>
    <w:rsid w:val="30EC2A9F"/>
    <w:rsid w:val="30F75538"/>
    <w:rsid w:val="31210606"/>
    <w:rsid w:val="315667A7"/>
    <w:rsid w:val="31703AA0"/>
    <w:rsid w:val="31AC5D86"/>
    <w:rsid w:val="31CD4137"/>
    <w:rsid w:val="31D31B9B"/>
    <w:rsid w:val="31EA4AE1"/>
    <w:rsid w:val="320564D5"/>
    <w:rsid w:val="3225051F"/>
    <w:rsid w:val="322B6C9D"/>
    <w:rsid w:val="324D6C5B"/>
    <w:rsid w:val="32793228"/>
    <w:rsid w:val="32877C63"/>
    <w:rsid w:val="329E577D"/>
    <w:rsid w:val="33002791"/>
    <w:rsid w:val="33032D3C"/>
    <w:rsid w:val="331962E9"/>
    <w:rsid w:val="333831BB"/>
    <w:rsid w:val="335C2175"/>
    <w:rsid w:val="33A46444"/>
    <w:rsid w:val="33B53C23"/>
    <w:rsid w:val="33C52B08"/>
    <w:rsid w:val="33ED5F4C"/>
    <w:rsid w:val="341542EC"/>
    <w:rsid w:val="34483872"/>
    <w:rsid w:val="344F2D38"/>
    <w:rsid w:val="34563522"/>
    <w:rsid w:val="34570B09"/>
    <w:rsid w:val="34742768"/>
    <w:rsid w:val="347F72AA"/>
    <w:rsid w:val="34925344"/>
    <w:rsid w:val="34BF6467"/>
    <w:rsid w:val="34C568ED"/>
    <w:rsid w:val="34CF61F3"/>
    <w:rsid w:val="354829BA"/>
    <w:rsid w:val="358E456B"/>
    <w:rsid w:val="35923813"/>
    <w:rsid w:val="35A534DF"/>
    <w:rsid w:val="35D71A7C"/>
    <w:rsid w:val="35FC6DA6"/>
    <w:rsid w:val="35FD7964"/>
    <w:rsid w:val="361F70DE"/>
    <w:rsid w:val="369A1C06"/>
    <w:rsid w:val="37283225"/>
    <w:rsid w:val="37572272"/>
    <w:rsid w:val="37582F36"/>
    <w:rsid w:val="378048B0"/>
    <w:rsid w:val="378325B1"/>
    <w:rsid w:val="37840AF5"/>
    <w:rsid w:val="37A44B25"/>
    <w:rsid w:val="37DE58E9"/>
    <w:rsid w:val="37ED7178"/>
    <w:rsid w:val="384F31B9"/>
    <w:rsid w:val="3873701B"/>
    <w:rsid w:val="38741812"/>
    <w:rsid w:val="387859EC"/>
    <w:rsid w:val="38A157AF"/>
    <w:rsid w:val="38BF20A9"/>
    <w:rsid w:val="394D78F5"/>
    <w:rsid w:val="39EF7ACA"/>
    <w:rsid w:val="39F138C5"/>
    <w:rsid w:val="3A063711"/>
    <w:rsid w:val="3A1577A2"/>
    <w:rsid w:val="3A601CA4"/>
    <w:rsid w:val="3A63198D"/>
    <w:rsid w:val="3A961086"/>
    <w:rsid w:val="3B274ADA"/>
    <w:rsid w:val="3B8A1DF8"/>
    <w:rsid w:val="3B9A6737"/>
    <w:rsid w:val="3BB31EF2"/>
    <w:rsid w:val="3BCC530F"/>
    <w:rsid w:val="3BD02128"/>
    <w:rsid w:val="3BFF2D28"/>
    <w:rsid w:val="3C2425EA"/>
    <w:rsid w:val="3C397868"/>
    <w:rsid w:val="3C7E652C"/>
    <w:rsid w:val="3C8E4E00"/>
    <w:rsid w:val="3CE41F30"/>
    <w:rsid w:val="3D063515"/>
    <w:rsid w:val="3D2C783B"/>
    <w:rsid w:val="3D697A46"/>
    <w:rsid w:val="3D6D267C"/>
    <w:rsid w:val="3DC85DFF"/>
    <w:rsid w:val="3DDB20E2"/>
    <w:rsid w:val="3E0B53AA"/>
    <w:rsid w:val="3E0D7FF2"/>
    <w:rsid w:val="3E3C6452"/>
    <w:rsid w:val="3E6E5530"/>
    <w:rsid w:val="3E827254"/>
    <w:rsid w:val="3F1861E9"/>
    <w:rsid w:val="3F350580"/>
    <w:rsid w:val="3F6678A5"/>
    <w:rsid w:val="3FC857E4"/>
    <w:rsid w:val="3FF8227E"/>
    <w:rsid w:val="40265985"/>
    <w:rsid w:val="410A37BE"/>
    <w:rsid w:val="410A474A"/>
    <w:rsid w:val="4111649F"/>
    <w:rsid w:val="411405D0"/>
    <w:rsid w:val="41172CAA"/>
    <w:rsid w:val="41243607"/>
    <w:rsid w:val="41381318"/>
    <w:rsid w:val="41396817"/>
    <w:rsid w:val="414342EA"/>
    <w:rsid w:val="41715973"/>
    <w:rsid w:val="4175089C"/>
    <w:rsid w:val="41962988"/>
    <w:rsid w:val="41B07282"/>
    <w:rsid w:val="41B117C8"/>
    <w:rsid w:val="41C968A2"/>
    <w:rsid w:val="41D30D9B"/>
    <w:rsid w:val="41E9646F"/>
    <w:rsid w:val="421A203C"/>
    <w:rsid w:val="421B5153"/>
    <w:rsid w:val="422C5F7B"/>
    <w:rsid w:val="422F20E1"/>
    <w:rsid w:val="425610D8"/>
    <w:rsid w:val="42804B17"/>
    <w:rsid w:val="42C63666"/>
    <w:rsid w:val="42E15C77"/>
    <w:rsid w:val="42F62625"/>
    <w:rsid w:val="432D23FB"/>
    <w:rsid w:val="4347397F"/>
    <w:rsid w:val="43636C1D"/>
    <w:rsid w:val="4374269D"/>
    <w:rsid w:val="43E8288A"/>
    <w:rsid w:val="440A01DF"/>
    <w:rsid w:val="44121A1A"/>
    <w:rsid w:val="445505AE"/>
    <w:rsid w:val="44570262"/>
    <w:rsid w:val="445F75CD"/>
    <w:rsid w:val="44D477C4"/>
    <w:rsid w:val="44D97C36"/>
    <w:rsid w:val="44E1527B"/>
    <w:rsid w:val="44FC6C63"/>
    <w:rsid w:val="4520702F"/>
    <w:rsid w:val="453127D7"/>
    <w:rsid w:val="453205BA"/>
    <w:rsid w:val="455475AE"/>
    <w:rsid w:val="4559003C"/>
    <w:rsid w:val="458A0BC7"/>
    <w:rsid w:val="45CC5BD8"/>
    <w:rsid w:val="45D31AC8"/>
    <w:rsid w:val="45EE63E9"/>
    <w:rsid w:val="460E0314"/>
    <w:rsid w:val="461D63E2"/>
    <w:rsid w:val="46234A16"/>
    <w:rsid w:val="46647FC1"/>
    <w:rsid w:val="466D590C"/>
    <w:rsid w:val="469557D9"/>
    <w:rsid w:val="46DE180B"/>
    <w:rsid w:val="47112CEF"/>
    <w:rsid w:val="471A04E9"/>
    <w:rsid w:val="47733AA1"/>
    <w:rsid w:val="47BF0FB8"/>
    <w:rsid w:val="484C7F83"/>
    <w:rsid w:val="4853594F"/>
    <w:rsid w:val="485A65CB"/>
    <w:rsid w:val="486076DA"/>
    <w:rsid w:val="486B1633"/>
    <w:rsid w:val="487706E4"/>
    <w:rsid w:val="48786075"/>
    <w:rsid w:val="48895F19"/>
    <w:rsid w:val="492D0973"/>
    <w:rsid w:val="493D52FB"/>
    <w:rsid w:val="495D1791"/>
    <w:rsid w:val="498D5732"/>
    <w:rsid w:val="49BF3C3C"/>
    <w:rsid w:val="49C27D4F"/>
    <w:rsid w:val="49EE7E56"/>
    <w:rsid w:val="4A283569"/>
    <w:rsid w:val="4A707BAD"/>
    <w:rsid w:val="4A756693"/>
    <w:rsid w:val="4A8F0E80"/>
    <w:rsid w:val="4A94287F"/>
    <w:rsid w:val="4AAA6ED1"/>
    <w:rsid w:val="4ADC529E"/>
    <w:rsid w:val="4AF605DF"/>
    <w:rsid w:val="4B0D2D46"/>
    <w:rsid w:val="4B221993"/>
    <w:rsid w:val="4B364EA2"/>
    <w:rsid w:val="4B8D4C22"/>
    <w:rsid w:val="4B9E5D3C"/>
    <w:rsid w:val="4BDC6760"/>
    <w:rsid w:val="4C1E03F9"/>
    <w:rsid w:val="4C2C1626"/>
    <w:rsid w:val="4C72320F"/>
    <w:rsid w:val="4C7239A4"/>
    <w:rsid w:val="4C8515D6"/>
    <w:rsid w:val="4C902FFF"/>
    <w:rsid w:val="4CA8053A"/>
    <w:rsid w:val="4CC4734D"/>
    <w:rsid w:val="4D6166AE"/>
    <w:rsid w:val="4D830CEF"/>
    <w:rsid w:val="4D8A66EE"/>
    <w:rsid w:val="4DC537AE"/>
    <w:rsid w:val="4DE5194B"/>
    <w:rsid w:val="4E0C7B22"/>
    <w:rsid w:val="4E46145D"/>
    <w:rsid w:val="4E753226"/>
    <w:rsid w:val="4E76173F"/>
    <w:rsid w:val="4EAC0405"/>
    <w:rsid w:val="4EE42634"/>
    <w:rsid w:val="4EE713EA"/>
    <w:rsid w:val="4F2A01BE"/>
    <w:rsid w:val="4F36474E"/>
    <w:rsid w:val="4F3C6A41"/>
    <w:rsid w:val="4F742C7A"/>
    <w:rsid w:val="4F9D2CC9"/>
    <w:rsid w:val="4FA66D20"/>
    <w:rsid w:val="4FE6264D"/>
    <w:rsid w:val="5053393E"/>
    <w:rsid w:val="50573358"/>
    <w:rsid w:val="508C36D4"/>
    <w:rsid w:val="50E456FC"/>
    <w:rsid w:val="50F32C94"/>
    <w:rsid w:val="51226F11"/>
    <w:rsid w:val="512E7FBA"/>
    <w:rsid w:val="51806F8B"/>
    <w:rsid w:val="519E2F6F"/>
    <w:rsid w:val="51C75E30"/>
    <w:rsid w:val="51F4151E"/>
    <w:rsid w:val="5217293C"/>
    <w:rsid w:val="526B6E47"/>
    <w:rsid w:val="52B406EF"/>
    <w:rsid w:val="52BD79F7"/>
    <w:rsid w:val="52CB221A"/>
    <w:rsid w:val="52E174A5"/>
    <w:rsid w:val="53065443"/>
    <w:rsid w:val="531145FD"/>
    <w:rsid w:val="5318052F"/>
    <w:rsid w:val="531A52C5"/>
    <w:rsid w:val="533B4BCA"/>
    <w:rsid w:val="53BF66F3"/>
    <w:rsid w:val="53F96BCC"/>
    <w:rsid w:val="54026716"/>
    <w:rsid w:val="542C5973"/>
    <w:rsid w:val="54482B82"/>
    <w:rsid w:val="54626FB4"/>
    <w:rsid w:val="54713309"/>
    <w:rsid w:val="549B0D25"/>
    <w:rsid w:val="54F03C79"/>
    <w:rsid w:val="54F91023"/>
    <w:rsid w:val="551C6A7C"/>
    <w:rsid w:val="553C7426"/>
    <w:rsid w:val="556A1C97"/>
    <w:rsid w:val="55730AC8"/>
    <w:rsid w:val="557A527E"/>
    <w:rsid w:val="563412CF"/>
    <w:rsid w:val="56553944"/>
    <w:rsid w:val="567A57F8"/>
    <w:rsid w:val="568C2C2E"/>
    <w:rsid w:val="571F005F"/>
    <w:rsid w:val="572617BF"/>
    <w:rsid w:val="57356424"/>
    <w:rsid w:val="57582143"/>
    <w:rsid w:val="57723443"/>
    <w:rsid w:val="57A83ED7"/>
    <w:rsid w:val="57D27912"/>
    <w:rsid w:val="57F47D8C"/>
    <w:rsid w:val="58436366"/>
    <w:rsid w:val="58561442"/>
    <w:rsid w:val="58A35B06"/>
    <w:rsid w:val="591D7AB3"/>
    <w:rsid w:val="59B26A61"/>
    <w:rsid w:val="59B461EA"/>
    <w:rsid w:val="59D67B58"/>
    <w:rsid w:val="59DB0393"/>
    <w:rsid w:val="59EB0033"/>
    <w:rsid w:val="5AB001B4"/>
    <w:rsid w:val="5AC54C80"/>
    <w:rsid w:val="5AE9407D"/>
    <w:rsid w:val="5AEE24DE"/>
    <w:rsid w:val="5B1731D1"/>
    <w:rsid w:val="5B250F9C"/>
    <w:rsid w:val="5B393705"/>
    <w:rsid w:val="5B46578E"/>
    <w:rsid w:val="5B916452"/>
    <w:rsid w:val="5B982079"/>
    <w:rsid w:val="5BA01B74"/>
    <w:rsid w:val="5BA85FF5"/>
    <w:rsid w:val="5BDA1492"/>
    <w:rsid w:val="5BDF4000"/>
    <w:rsid w:val="5BE65846"/>
    <w:rsid w:val="5C0A17DC"/>
    <w:rsid w:val="5C1B44D9"/>
    <w:rsid w:val="5C291E51"/>
    <w:rsid w:val="5C29584C"/>
    <w:rsid w:val="5C2F0412"/>
    <w:rsid w:val="5C68375A"/>
    <w:rsid w:val="5C906996"/>
    <w:rsid w:val="5C927BFE"/>
    <w:rsid w:val="5CA556A0"/>
    <w:rsid w:val="5CEC0025"/>
    <w:rsid w:val="5CF255CA"/>
    <w:rsid w:val="5CFA363A"/>
    <w:rsid w:val="5D137ADF"/>
    <w:rsid w:val="5D2E46E0"/>
    <w:rsid w:val="5D6C0F6C"/>
    <w:rsid w:val="5D8C723B"/>
    <w:rsid w:val="5DAC3300"/>
    <w:rsid w:val="5DE46E18"/>
    <w:rsid w:val="5DF16C64"/>
    <w:rsid w:val="5DF66929"/>
    <w:rsid w:val="5DFF2C8C"/>
    <w:rsid w:val="5E4A53BA"/>
    <w:rsid w:val="5E5B0A3A"/>
    <w:rsid w:val="5ECB3AAA"/>
    <w:rsid w:val="5ECE691F"/>
    <w:rsid w:val="5EFA4D6F"/>
    <w:rsid w:val="5F0C1043"/>
    <w:rsid w:val="5F2B2850"/>
    <w:rsid w:val="5F6D3F07"/>
    <w:rsid w:val="5F714CBF"/>
    <w:rsid w:val="5F7E6FFF"/>
    <w:rsid w:val="5F86560F"/>
    <w:rsid w:val="5FA323EE"/>
    <w:rsid w:val="5FB96CF8"/>
    <w:rsid w:val="5FC943AC"/>
    <w:rsid w:val="603F1DCC"/>
    <w:rsid w:val="60524FFB"/>
    <w:rsid w:val="605651EA"/>
    <w:rsid w:val="605964C7"/>
    <w:rsid w:val="60707360"/>
    <w:rsid w:val="60917798"/>
    <w:rsid w:val="60B55046"/>
    <w:rsid w:val="60D513C5"/>
    <w:rsid w:val="6101294F"/>
    <w:rsid w:val="612F666F"/>
    <w:rsid w:val="616E0BC2"/>
    <w:rsid w:val="61903CAC"/>
    <w:rsid w:val="619F3903"/>
    <w:rsid w:val="61D2626F"/>
    <w:rsid w:val="61E955C9"/>
    <w:rsid w:val="62146F1A"/>
    <w:rsid w:val="624311E9"/>
    <w:rsid w:val="624A05B8"/>
    <w:rsid w:val="624A2500"/>
    <w:rsid w:val="62574003"/>
    <w:rsid w:val="62913A4A"/>
    <w:rsid w:val="629568AB"/>
    <w:rsid w:val="62B00F17"/>
    <w:rsid w:val="62BB5E58"/>
    <w:rsid w:val="62FB4F89"/>
    <w:rsid w:val="62FC0147"/>
    <w:rsid w:val="63167CD7"/>
    <w:rsid w:val="63502676"/>
    <w:rsid w:val="6377273E"/>
    <w:rsid w:val="63A53480"/>
    <w:rsid w:val="63B40F2D"/>
    <w:rsid w:val="63BF55B4"/>
    <w:rsid w:val="63E50381"/>
    <w:rsid w:val="63FF6DBA"/>
    <w:rsid w:val="641C58C1"/>
    <w:rsid w:val="64290E6F"/>
    <w:rsid w:val="64313727"/>
    <w:rsid w:val="643E59DC"/>
    <w:rsid w:val="647A0C84"/>
    <w:rsid w:val="648E3223"/>
    <w:rsid w:val="6495713E"/>
    <w:rsid w:val="651B165C"/>
    <w:rsid w:val="65425E50"/>
    <w:rsid w:val="656436D8"/>
    <w:rsid w:val="657B5001"/>
    <w:rsid w:val="65F3077D"/>
    <w:rsid w:val="660A5AFA"/>
    <w:rsid w:val="66144CBE"/>
    <w:rsid w:val="669A05D9"/>
    <w:rsid w:val="669E4292"/>
    <w:rsid w:val="66A920B5"/>
    <w:rsid w:val="66C20D5E"/>
    <w:rsid w:val="67534484"/>
    <w:rsid w:val="678A5B54"/>
    <w:rsid w:val="679D2A53"/>
    <w:rsid w:val="67BB4024"/>
    <w:rsid w:val="67BF3552"/>
    <w:rsid w:val="67BF6971"/>
    <w:rsid w:val="67EA004D"/>
    <w:rsid w:val="682C719B"/>
    <w:rsid w:val="68603A96"/>
    <w:rsid w:val="68975032"/>
    <w:rsid w:val="68980B2E"/>
    <w:rsid w:val="68A70E51"/>
    <w:rsid w:val="68A83CB4"/>
    <w:rsid w:val="68C314A8"/>
    <w:rsid w:val="68D42B85"/>
    <w:rsid w:val="68E671E7"/>
    <w:rsid w:val="68EC3140"/>
    <w:rsid w:val="68F6660C"/>
    <w:rsid w:val="68F707EE"/>
    <w:rsid w:val="690D3DCE"/>
    <w:rsid w:val="692A336A"/>
    <w:rsid w:val="693307EB"/>
    <w:rsid w:val="69442293"/>
    <w:rsid w:val="6957122A"/>
    <w:rsid w:val="695B00D3"/>
    <w:rsid w:val="69EF697A"/>
    <w:rsid w:val="69FC3B4D"/>
    <w:rsid w:val="6A0B0A00"/>
    <w:rsid w:val="6A1170FE"/>
    <w:rsid w:val="6A486991"/>
    <w:rsid w:val="6AA80C20"/>
    <w:rsid w:val="6AB67173"/>
    <w:rsid w:val="6AF23142"/>
    <w:rsid w:val="6AFD6817"/>
    <w:rsid w:val="6B184FC4"/>
    <w:rsid w:val="6B1B3C01"/>
    <w:rsid w:val="6B1E4830"/>
    <w:rsid w:val="6BBB3B0A"/>
    <w:rsid w:val="6C0F5F4A"/>
    <w:rsid w:val="6C145D66"/>
    <w:rsid w:val="6C7B19D7"/>
    <w:rsid w:val="6C904A3A"/>
    <w:rsid w:val="6CA05E8C"/>
    <w:rsid w:val="6CDF3D92"/>
    <w:rsid w:val="6CE06728"/>
    <w:rsid w:val="6CEC4D0F"/>
    <w:rsid w:val="6D2B10DB"/>
    <w:rsid w:val="6DA06CFE"/>
    <w:rsid w:val="6DC30E5B"/>
    <w:rsid w:val="6DE77B88"/>
    <w:rsid w:val="6E0D0C2C"/>
    <w:rsid w:val="6E2D7521"/>
    <w:rsid w:val="6E483C19"/>
    <w:rsid w:val="6EC9438E"/>
    <w:rsid w:val="6F2B7644"/>
    <w:rsid w:val="6F3E0D16"/>
    <w:rsid w:val="6F4B669E"/>
    <w:rsid w:val="6F6B1716"/>
    <w:rsid w:val="6F6C06CA"/>
    <w:rsid w:val="6F795EBC"/>
    <w:rsid w:val="6F9C530D"/>
    <w:rsid w:val="6FB57462"/>
    <w:rsid w:val="6FCF30E7"/>
    <w:rsid w:val="70215234"/>
    <w:rsid w:val="702B2008"/>
    <w:rsid w:val="70AA6B66"/>
    <w:rsid w:val="70BC1855"/>
    <w:rsid w:val="70D03DBB"/>
    <w:rsid w:val="70FC22C7"/>
    <w:rsid w:val="712E3B1C"/>
    <w:rsid w:val="71393511"/>
    <w:rsid w:val="71644448"/>
    <w:rsid w:val="718E249C"/>
    <w:rsid w:val="71B454B8"/>
    <w:rsid w:val="71C6608B"/>
    <w:rsid w:val="72A71E0C"/>
    <w:rsid w:val="72CB21CA"/>
    <w:rsid w:val="72D0074F"/>
    <w:rsid w:val="72D179BF"/>
    <w:rsid w:val="72FC2DE7"/>
    <w:rsid w:val="72FE4C6C"/>
    <w:rsid w:val="731925FA"/>
    <w:rsid w:val="733B6DC0"/>
    <w:rsid w:val="734F1F70"/>
    <w:rsid w:val="73894780"/>
    <w:rsid w:val="73BF20BE"/>
    <w:rsid w:val="73EA6CCC"/>
    <w:rsid w:val="73F83B93"/>
    <w:rsid w:val="74033D3C"/>
    <w:rsid w:val="74106C66"/>
    <w:rsid w:val="741575AE"/>
    <w:rsid w:val="74231176"/>
    <w:rsid w:val="74475476"/>
    <w:rsid w:val="746E3FD1"/>
    <w:rsid w:val="74B67FA7"/>
    <w:rsid w:val="74CF01F6"/>
    <w:rsid w:val="74E44B22"/>
    <w:rsid w:val="75125187"/>
    <w:rsid w:val="752F5D58"/>
    <w:rsid w:val="75327D7E"/>
    <w:rsid w:val="75421315"/>
    <w:rsid w:val="75874E09"/>
    <w:rsid w:val="75E80D07"/>
    <w:rsid w:val="75EB4796"/>
    <w:rsid w:val="7603479E"/>
    <w:rsid w:val="76133F38"/>
    <w:rsid w:val="76376C62"/>
    <w:rsid w:val="766361D4"/>
    <w:rsid w:val="76A93642"/>
    <w:rsid w:val="770C25A1"/>
    <w:rsid w:val="771950A4"/>
    <w:rsid w:val="773B2895"/>
    <w:rsid w:val="775F6560"/>
    <w:rsid w:val="77D25543"/>
    <w:rsid w:val="77E81FAD"/>
    <w:rsid w:val="77FD0ED4"/>
    <w:rsid w:val="782463C2"/>
    <w:rsid w:val="78E8599C"/>
    <w:rsid w:val="790D46C0"/>
    <w:rsid w:val="791933B6"/>
    <w:rsid w:val="79230E0C"/>
    <w:rsid w:val="793B77DD"/>
    <w:rsid w:val="79450EE0"/>
    <w:rsid w:val="794834D4"/>
    <w:rsid w:val="794D7227"/>
    <w:rsid w:val="796C136B"/>
    <w:rsid w:val="799C1CFF"/>
    <w:rsid w:val="79AB3592"/>
    <w:rsid w:val="79AD19CE"/>
    <w:rsid w:val="79B46437"/>
    <w:rsid w:val="79D11ED5"/>
    <w:rsid w:val="79F61B97"/>
    <w:rsid w:val="7A0C3234"/>
    <w:rsid w:val="7A533C8F"/>
    <w:rsid w:val="7A6E4636"/>
    <w:rsid w:val="7A775B97"/>
    <w:rsid w:val="7B0573FB"/>
    <w:rsid w:val="7B130FB2"/>
    <w:rsid w:val="7B2473F8"/>
    <w:rsid w:val="7B24771D"/>
    <w:rsid w:val="7B2636AA"/>
    <w:rsid w:val="7B2B0FEB"/>
    <w:rsid w:val="7B2B4AF7"/>
    <w:rsid w:val="7B6614F8"/>
    <w:rsid w:val="7B6D5BAA"/>
    <w:rsid w:val="7BE611BE"/>
    <w:rsid w:val="7BE80C7C"/>
    <w:rsid w:val="7C215AEC"/>
    <w:rsid w:val="7C360C40"/>
    <w:rsid w:val="7C4B347A"/>
    <w:rsid w:val="7C72545C"/>
    <w:rsid w:val="7C864DD5"/>
    <w:rsid w:val="7CEA10D8"/>
    <w:rsid w:val="7CEF347B"/>
    <w:rsid w:val="7D026036"/>
    <w:rsid w:val="7D6D6976"/>
    <w:rsid w:val="7D6F7B12"/>
    <w:rsid w:val="7D83652A"/>
    <w:rsid w:val="7D9A016D"/>
    <w:rsid w:val="7DCE1F42"/>
    <w:rsid w:val="7DD00F20"/>
    <w:rsid w:val="7DE66F91"/>
    <w:rsid w:val="7E072EBD"/>
    <w:rsid w:val="7E56381C"/>
    <w:rsid w:val="7E7430D2"/>
    <w:rsid w:val="7E7B2AF2"/>
    <w:rsid w:val="7E9A153F"/>
    <w:rsid w:val="7EB02159"/>
    <w:rsid w:val="7ED32013"/>
    <w:rsid w:val="7EED2FC6"/>
    <w:rsid w:val="7EF76EE2"/>
    <w:rsid w:val="7F0C4E65"/>
    <w:rsid w:val="7F113E02"/>
    <w:rsid w:val="7F263E37"/>
    <w:rsid w:val="7F9E4BC1"/>
    <w:rsid w:val="7FD54D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 w:hAnsi="??" w:eastAsia="宋体" w:cs="Times New Roman"/>
      <w:kern w:val="2"/>
      <w:sz w:val="21"/>
      <w:szCs w:val="22"/>
      <w:lang w:val="en-US" w:eastAsia="zh-CN" w:bidi="ar-SA"/>
    </w:rPr>
  </w:style>
  <w:style w:type="paragraph" w:styleId="5">
    <w:name w:val="heading 1"/>
    <w:basedOn w:val="1"/>
    <w:next w:val="1"/>
    <w:qFormat/>
    <w:uiPriority w:val="0"/>
    <w:pPr>
      <w:spacing w:line="480" w:lineRule="atLeast"/>
      <w:outlineLvl w:val="0"/>
    </w:pPr>
    <w:rPr>
      <w:rFonts w:ascii="宋体" w:hAnsi="宋体"/>
      <w:b/>
      <w:sz w:val="30"/>
      <w:szCs w:val="30"/>
    </w:rPr>
  </w:style>
  <w:style w:type="paragraph" w:styleId="6">
    <w:name w:val="heading 2"/>
    <w:basedOn w:val="5"/>
    <w:next w:val="1"/>
    <w:semiHidden/>
    <w:unhideWhenUsed/>
    <w:qFormat/>
    <w:uiPriority w:val="0"/>
    <w:pPr>
      <w:outlineLvl w:val="1"/>
    </w:pPr>
    <w:rPr>
      <w:sz w:val="28"/>
    </w:rPr>
  </w:style>
  <w:style w:type="paragraph" w:styleId="7">
    <w:name w:val="heading 3"/>
    <w:basedOn w:val="1"/>
    <w:next w:val="1"/>
    <w:semiHidden/>
    <w:unhideWhenUsed/>
    <w:qFormat/>
    <w:uiPriority w:val="0"/>
    <w:pPr>
      <w:spacing w:line="480" w:lineRule="atLeast"/>
      <w:outlineLvl w:val="2"/>
    </w:pPr>
    <w:rPr>
      <w:rFonts w:ascii="宋体" w:hAnsi="宋体"/>
      <w:sz w:val="24"/>
      <w:szCs w:val="24"/>
    </w:rPr>
  </w:style>
  <w:style w:type="paragraph" w:styleId="8">
    <w:name w:val="heading 4"/>
    <w:basedOn w:val="1"/>
    <w:next w:val="1"/>
    <w:qFormat/>
    <w:uiPriority w:val="1"/>
    <w:pPr>
      <w:ind w:left="666"/>
      <w:outlineLvl w:val="4"/>
    </w:pPr>
    <w:rPr>
      <w:rFonts w:ascii="微软雅黑" w:hAnsi="微软雅黑" w:eastAsia="微软雅黑" w:cs="微软雅黑"/>
      <w:b/>
      <w:bCs/>
      <w:sz w:val="24"/>
      <w:szCs w:val="24"/>
      <w:lang w:val="zh-CN" w:eastAsia="zh-CN" w:bidi="zh-CN"/>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rPr>
      <w:szCs w:val="24"/>
    </w:rPr>
  </w:style>
  <w:style w:type="paragraph" w:customStyle="1" w:styleId="3">
    <w:name w:val="样式 正文文本 + 首行缩进:  2 字符"/>
    <w:basedOn w:val="4"/>
    <w:qFormat/>
    <w:uiPriority w:val="0"/>
    <w:pPr>
      <w:spacing w:line="480" w:lineRule="exact"/>
      <w:ind w:firstLine="480" w:firstLineChars="200"/>
    </w:pPr>
    <w:rPr>
      <w:rFonts w:ascii="宋体" w:hAnsi="宋体" w:eastAsia="宋体" w:cs="宋体"/>
      <w:sz w:val="24"/>
      <w:szCs w:val="20"/>
    </w:rPr>
  </w:style>
  <w:style w:type="paragraph" w:styleId="4">
    <w:name w:val="Body Text"/>
    <w:basedOn w:val="1"/>
    <w:qFormat/>
    <w:uiPriority w:val="0"/>
    <w:pPr>
      <w:spacing w:after="120"/>
    </w:pPr>
  </w:style>
  <w:style w:type="paragraph" w:styleId="9">
    <w:name w:val="annotation text"/>
    <w:basedOn w:val="1"/>
    <w:qFormat/>
    <w:uiPriority w:val="0"/>
    <w:pPr>
      <w:jc w:val="left"/>
    </w:pPr>
  </w:style>
  <w:style w:type="paragraph" w:styleId="10">
    <w:name w:val="Body Text Indent"/>
    <w:basedOn w:val="1"/>
    <w:qFormat/>
    <w:uiPriority w:val="0"/>
    <w:pPr>
      <w:spacing w:after="120" w:afterLines="0" w:afterAutospacing="0"/>
      <w:ind w:left="420" w:leftChars="200"/>
    </w:pPr>
  </w:style>
  <w:style w:type="paragraph" w:styleId="11">
    <w:name w:val="toc 3"/>
    <w:basedOn w:val="1"/>
    <w:next w:val="1"/>
    <w:qFormat/>
    <w:uiPriority w:val="0"/>
    <w:pPr>
      <w:widowControl/>
      <w:spacing w:after="100" w:line="259" w:lineRule="auto"/>
      <w:ind w:left="440"/>
      <w:jc w:val="left"/>
    </w:pPr>
    <w:rPr>
      <w:kern w:val="0"/>
      <w:sz w:val="22"/>
    </w:rPr>
  </w:style>
  <w:style w:type="paragraph" w:styleId="12">
    <w:name w:val="Plain Text"/>
    <w:basedOn w:val="1"/>
    <w:qFormat/>
    <w:uiPriority w:val="0"/>
    <w:rPr>
      <w:rFonts w:ascii="宋体" w:hAnsi="Courier New" w:cs="Courier New"/>
      <w:szCs w:val="21"/>
    </w:rPr>
  </w:style>
  <w:style w:type="paragraph" w:styleId="13">
    <w:name w:val="Body Text Indent 2"/>
    <w:basedOn w:val="1"/>
    <w:qFormat/>
    <w:uiPriority w:val="0"/>
    <w:pPr>
      <w:spacing w:line="300" w:lineRule="atLeast"/>
      <w:ind w:firstLine="420" w:firstLineChars="200"/>
    </w:pPr>
    <w:rPr>
      <w:color w:val="FF00FF"/>
      <w:kern w:val="24"/>
      <w:szCs w:val="20"/>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pPr>
      <w:adjustRightInd w:val="0"/>
      <w:snapToGrid w:val="0"/>
      <w:spacing w:line="280" w:lineRule="exact"/>
      <w:jc w:val="center"/>
    </w:pPr>
    <w:rPr>
      <w:rFonts w:ascii="Times New Roman" w:hAnsi="Times New Roman"/>
      <w:sz w:val="24"/>
      <w:szCs w:val="20"/>
    </w:rPr>
  </w:style>
  <w:style w:type="paragraph" w:styleId="17">
    <w:name w:val="List"/>
    <w:basedOn w:val="1"/>
    <w:qFormat/>
    <w:uiPriority w:val="0"/>
    <w:pPr>
      <w:spacing w:line="360" w:lineRule="exact"/>
      <w:ind w:firstLine="38" w:firstLineChars="18"/>
      <w:jc w:val="left"/>
    </w:pPr>
    <w:rPr>
      <w:rFonts w:ascii="宋体" w:hAnsi="Times New Roman"/>
      <w:szCs w:val="21"/>
    </w:rPr>
  </w:style>
  <w:style w:type="paragraph" w:styleId="18">
    <w:name w:val="toc 2"/>
    <w:basedOn w:val="1"/>
    <w:next w:val="1"/>
    <w:qFormat/>
    <w:uiPriority w:val="0"/>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4"/>
    <w:qFormat/>
    <w:uiPriority w:val="0"/>
    <w:pPr>
      <w:ind w:firstLine="420" w:firstLineChars="100"/>
    </w:pPr>
  </w:style>
  <w:style w:type="paragraph" w:styleId="21">
    <w:name w:val="Body Text First Indent 2"/>
    <w:basedOn w:val="10"/>
    <w:next w:val="1"/>
    <w:qFormat/>
    <w:uiPriority w:val="0"/>
    <w:pPr>
      <w:ind w:firstLine="420" w:firstLineChars="200"/>
    </w:p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bCs/>
    </w:rPr>
  </w:style>
  <w:style w:type="character" w:styleId="26">
    <w:name w:val="annotation reference"/>
    <w:basedOn w:val="24"/>
    <w:qFormat/>
    <w:uiPriority w:val="0"/>
    <w:rPr>
      <w:sz w:val="21"/>
      <w:szCs w:val="21"/>
    </w:rPr>
  </w:style>
  <w:style w:type="paragraph" w:customStyle="1" w:styleId="27">
    <w:name w:val="Char Char Char Char Char Char Char Char Char1 Char"/>
    <w:basedOn w:val="1"/>
    <w:next w:val="28"/>
    <w:qFormat/>
    <w:uiPriority w:val="0"/>
    <w:pPr>
      <w:spacing w:line="360" w:lineRule="auto"/>
      <w:ind w:firstLine="200" w:firstLineChars="200"/>
    </w:pPr>
    <w:rPr>
      <w:rFonts w:ascii="宋体" w:hAnsi="宋体" w:cs="宋体"/>
      <w:sz w:val="24"/>
    </w:rPr>
  </w:style>
  <w:style w:type="paragraph" w:customStyle="1" w:styleId="28">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2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0">
    <w:name w:val="TOC Heading1"/>
    <w:basedOn w:val="5"/>
    <w:next w:val="1"/>
    <w:qFormat/>
    <w:uiPriority w:val="99"/>
    <w:pPr>
      <w:keepNext/>
      <w:keepLines/>
      <w:widowControl/>
      <w:spacing w:before="240" w:line="259" w:lineRule="auto"/>
      <w:jc w:val="left"/>
      <w:outlineLvl w:val="9"/>
    </w:pPr>
    <w:rPr>
      <w:rFonts w:ascii="?? Light" w:hAnsi="?? Light"/>
      <w:b w:val="0"/>
      <w:color w:val="2F5496"/>
      <w:kern w:val="0"/>
      <w:sz w:val="32"/>
      <w:szCs w:val="32"/>
    </w:rPr>
  </w:style>
  <w:style w:type="paragraph" w:styleId="31">
    <w:name w:val="List Paragraph"/>
    <w:basedOn w:val="1"/>
    <w:qFormat/>
    <w:uiPriority w:val="99"/>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32">
    <w:name w:val="列出段落1"/>
    <w:basedOn w:val="1"/>
    <w:qFormat/>
    <w:uiPriority w:val="99"/>
    <w:pPr>
      <w:ind w:firstLine="420" w:firstLineChars="200"/>
    </w:pPr>
  </w:style>
  <w:style w:type="table" w:customStyle="1" w:styleId="33">
    <w:name w:val="TableGrid"/>
    <w:qFormat/>
    <w:uiPriority w:val="0"/>
    <w:tblPr>
      <w:tblCellMar>
        <w:top w:w="0" w:type="dxa"/>
        <w:left w:w="0" w:type="dxa"/>
        <w:bottom w:w="0" w:type="dxa"/>
        <w:right w:w="0" w:type="dxa"/>
      </w:tblCellMar>
    </w:tblPr>
  </w:style>
  <w:style w:type="paragraph" w:customStyle="1" w:styleId="34">
    <w:name w:val="(1)"/>
    <w:basedOn w:val="1"/>
    <w:qFormat/>
    <w:uiPriority w:val="0"/>
    <w:rPr>
      <w:sz w:val="24"/>
    </w:rPr>
  </w:style>
  <w:style w:type="paragraph" w:customStyle="1" w:styleId="35">
    <w:name w:val="1"/>
    <w:basedOn w:val="1"/>
    <w:next w:val="12"/>
    <w:qFormat/>
    <w:uiPriority w:val="0"/>
    <w:rPr>
      <w:rFonts w:ascii="宋体" w:hAnsi="Courier New"/>
      <w:color w:val="000000"/>
      <w:kern w:val="44"/>
      <w:sz w:val="24"/>
      <w:szCs w:val="20"/>
    </w:rPr>
  </w:style>
  <w:style w:type="paragraph" w:customStyle="1" w:styleId="36">
    <w:name w:val="表格1"/>
    <w:basedOn w:val="2"/>
    <w:next w:val="2"/>
    <w:qFormat/>
    <w:uiPriority w:val="0"/>
    <w:pPr>
      <w:adjustRightInd w:val="0"/>
      <w:snapToGrid w:val="0"/>
      <w:spacing w:line="340" w:lineRule="exact"/>
      <w:ind w:firstLine="0" w:firstLineChars="0"/>
      <w:jc w:val="center"/>
    </w:pPr>
    <w:rPr>
      <w:szCs w:val="20"/>
      <w:lang w:val="en-US" w:eastAsia="zh-CN"/>
    </w:rPr>
  </w:style>
  <w:style w:type="paragraph" w:customStyle="1" w:styleId="37">
    <w:name w:val="长江报告表表格"/>
    <w:basedOn w:val="1"/>
    <w:qFormat/>
    <w:uiPriority w:val="0"/>
    <w:pPr>
      <w:spacing w:line="360" w:lineRule="atLeast"/>
      <w:jc w:val="center"/>
    </w:pPr>
    <w:rPr>
      <w:rFonts w:cstheme="minorBidi"/>
      <w:szCs w:val="22"/>
    </w:rPr>
  </w:style>
  <w:style w:type="paragraph" w:customStyle="1" w:styleId="38">
    <w:name w:val="表格正文"/>
    <w:basedOn w:val="37"/>
    <w:qFormat/>
    <w:uiPriority w:val="0"/>
    <w:pPr>
      <w:jc w:val="both"/>
    </w:pPr>
    <w:rPr>
      <w:snapToGrid w:val="0"/>
      <w:color w:val="000000"/>
    </w:rPr>
  </w:style>
  <w:style w:type="paragraph" w:customStyle="1" w:styleId="39">
    <w:name w:val="报告表正文"/>
    <w:basedOn w:val="1"/>
    <w:qFormat/>
    <w:uiPriority w:val="0"/>
    <w:pPr>
      <w:adjustRightInd w:val="0"/>
      <w:spacing w:line="480" w:lineRule="exact"/>
      <w:ind w:firstLine="200" w:firstLineChars="200"/>
      <w:textAlignment w:val="baseline"/>
    </w:pPr>
    <w:rPr>
      <w:kern w:val="0"/>
      <w:sz w:val="24"/>
    </w:rPr>
  </w:style>
  <w:style w:type="paragraph" w:customStyle="1" w:styleId="40">
    <w:name w:val="长江报告表正文"/>
    <w:basedOn w:val="41"/>
    <w:link w:val="42"/>
    <w:qFormat/>
    <w:uiPriority w:val="0"/>
    <w:pPr>
      <w:spacing w:line="480" w:lineRule="atLeast"/>
      <w:ind w:firstLine="200" w:firstLineChars="200"/>
    </w:pPr>
    <w:rPr>
      <w:rFonts w:cstheme="minorBidi"/>
      <w:sz w:val="24"/>
      <w:szCs w:val="22"/>
    </w:rPr>
  </w:style>
  <w:style w:type="paragraph" w:styleId="41">
    <w:name w:val="No Spacing"/>
    <w:semiHidden/>
    <w:unhideWhenUsed/>
    <w:qFormat/>
    <w:uiPriority w:val="99"/>
    <w:pPr>
      <w:widowControl w:val="0"/>
      <w:jc w:val="both"/>
    </w:pPr>
    <w:rPr>
      <w:rFonts w:ascii="Times New Roman" w:hAnsi="Times New Roman" w:eastAsia="宋体" w:cs="Times New Roman"/>
      <w:kern w:val="2"/>
      <w:sz w:val="21"/>
      <w:lang w:val="en-US" w:eastAsia="zh-CN" w:bidi="ar-SA"/>
    </w:rPr>
  </w:style>
  <w:style w:type="character" w:customStyle="1" w:styleId="42">
    <w:name w:val="长江报告表正文 字符"/>
    <w:basedOn w:val="24"/>
    <w:link w:val="40"/>
    <w:qFormat/>
    <w:uiPriority w:val="0"/>
    <w:rPr>
      <w:rFonts w:cstheme="minorBidi"/>
      <w:sz w:val="24"/>
      <w:szCs w:val="22"/>
    </w:rPr>
  </w:style>
  <w:style w:type="paragraph" w:customStyle="1" w:styleId="43">
    <w:name w:val="表"/>
    <w:basedOn w:val="1"/>
    <w:qFormat/>
    <w:uiPriority w:val="0"/>
    <w:pPr>
      <w:snapToGrid w:val="0"/>
      <w:jc w:val="center"/>
    </w:pPr>
    <w:rPr>
      <w:rFonts w:ascii="Times New Roman" w:hAnsi="Times New Roman"/>
      <w:spacing w:val="2"/>
      <w:szCs w:val="20"/>
    </w:rPr>
  </w:style>
  <w:style w:type="character" w:customStyle="1" w:styleId="44">
    <w:name w:val="正文文本缩进 3 Char Char"/>
    <w:qFormat/>
    <w:uiPriority w:val="99"/>
    <w:rPr>
      <w:rFonts w:ascii="宋体" w:hAnsi="宋体" w:eastAsia="宋体"/>
      <w:b/>
      <w:kern w:val="2"/>
      <w:sz w:val="24"/>
      <w:lang w:val="en-US" w:eastAsia="zh-CN"/>
    </w:rPr>
  </w:style>
  <w:style w:type="paragraph" w:customStyle="1" w:styleId="45">
    <w:name w:val="Table Paragraph"/>
    <w:basedOn w:val="1"/>
    <w:qFormat/>
    <w:uiPriority w:val="1"/>
    <w:rPr>
      <w:rFonts w:ascii="宋体" w:hAnsi="宋体" w:eastAsia="宋体" w:cs="宋体"/>
      <w:lang w:val="zh-CN" w:eastAsia="zh-CN" w:bidi="zh-CN"/>
    </w:rPr>
  </w:style>
  <w:style w:type="paragraph" w:customStyle="1" w:styleId="46">
    <w:name w:val="居中正文"/>
    <w:basedOn w:val="20"/>
    <w:qFormat/>
    <w:uiPriority w:val="0"/>
    <w:pPr>
      <w:spacing w:before="120" w:after="0" w:line="360" w:lineRule="auto"/>
      <w:ind w:firstLine="0" w:firstLineChars="0"/>
      <w:jc w:val="center"/>
    </w:pPr>
    <w:rPr>
      <w:rFonts w:ascii="宋体"/>
      <w:kern w:val="28"/>
      <w:sz w:val="24"/>
    </w:rPr>
  </w:style>
  <w:style w:type="paragraph" w:customStyle="1" w:styleId="47">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表格_正文"/>
    <w:qFormat/>
    <w:uiPriority w:val="0"/>
    <w:pPr>
      <w:widowControl w:val="0"/>
      <w:adjustRightInd w:val="0"/>
      <w:snapToGrid w:val="0"/>
      <w:spacing w:line="440" w:lineRule="atLeast"/>
      <w:jc w:val="center"/>
    </w:pPr>
    <w:rPr>
      <w:rFonts w:ascii="宋体" w:hAnsi="宋体" w:eastAsia="楷体_GB2312" w:cs="Times New Roman"/>
      <w:bCs/>
      <w:spacing w:val="4"/>
      <w:kern w:val="2"/>
      <w:sz w:val="21"/>
      <w:szCs w:val="28"/>
      <w:lang w:val="en-US" w:eastAsia="zh-CN" w:bidi="ar-SA"/>
    </w:rPr>
  </w:style>
  <w:style w:type="paragraph" w:customStyle="1" w:styleId="49">
    <w:name w:val="A-表格文字"/>
    <w:basedOn w:val="1"/>
    <w:next w:val="50"/>
    <w:qFormat/>
    <w:uiPriority w:val="0"/>
    <w:pPr>
      <w:autoSpaceDE w:val="0"/>
      <w:autoSpaceDN w:val="0"/>
      <w:adjustRightInd w:val="0"/>
      <w:jc w:val="center"/>
      <w:textAlignment w:val="center"/>
    </w:pPr>
    <w:rPr>
      <w:kern w:val="0"/>
      <w:szCs w:val="21"/>
    </w:rPr>
  </w:style>
  <w:style w:type="paragraph" w:customStyle="1" w:styleId="50">
    <w:name w:val="A-z正文"/>
    <w:basedOn w:val="1"/>
    <w:qFormat/>
    <w:uiPriority w:val="0"/>
    <w:pPr>
      <w:spacing w:line="360" w:lineRule="auto"/>
      <w:ind w:firstLine="200" w:firstLineChars="20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emf"/><Relationship Id="rId25" Type="http://schemas.openxmlformats.org/officeDocument/2006/relationships/oleObject" Target="embeddings/oleObject3.bin"/><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emf"/><Relationship Id="rId21" Type="http://schemas.openxmlformats.org/officeDocument/2006/relationships/oleObject" Target="embeddings/oleObject2.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072"/>
    <customShpInfo spid="_x0000_s2073"/>
    <customShpInfo spid="_x0000_s2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13243</Words>
  <Characters>16845</Characters>
  <Lines>0</Lines>
  <Paragraphs>0</Paragraphs>
  <TotalTime>10</TotalTime>
  <ScaleCrop>false</ScaleCrop>
  <LinksUpToDate>false</LinksUpToDate>
  <CharactersWithSpaces>17712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2018-03-10T02:05:00Z</dcterms:created>
  <dc:creator>在天涯</dc:creator>
  <cp:lastModifiedBy>Administrator</cp:lastModifiedBy>
  <cp:lastPrinted>2022-07-21T01:34:56Z</cp:lastPrinted>
  <dcterms:modified xsi:type="dcterms:W3CDTF">2022-07-21T01:35:01Z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D6304D605AE04622A9A72350A29522CE</vt:lpwstr>
  </property>
</Properties>
</file>